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7" w:rsidRPr="00841494" w:rsidRDefault="00F366D7" w:rsidP="00F366D7">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F366D7" w:rsidRPr="00841494" w:rsidRDefault="00F366D7" w:rsidP="00F366D7">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Генеральный директор</w:t>
      </w:r>
    </w:p>
    <w:p w:rsidR="00F366D7" w:rsidRPr="00982054" w:rsidRDefault="00F366D7" w:rsidP="00F366D7">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ФГУП «ГН</w:t>
      </w:r>
      <w:proofErr w:type="gramStart"/>
      <w:r w:rsidRPr="00982054">
        <w:rPr>
          <w:rFonts w:ascii="Times New Roman" w:eastAsia="Calibri" w:hAnsi="Times New Roman" w:cs="Times New Roman"/>
          <w:sz w:val="28"/>
          <w:szCs w:val="28"/>
        </w:rPr>
        <w:t>Ц«</w:t>
      </w:r>
      <w:proofErr w:type="gramEnd"/>
      <w:r w:rsidRPr="00982054">
        <w:rPr>
          <w:rFonts w:ascii="Times New Roman" w:eastAsia="Calibri" w:hAnsi="Times New Roman" w:cs="Times New Roman"/>
          <w:sz w:val="28"/>
          <w:szCs w:val="28"/>
        </w:rPr>
        <w:t>НИОПИК»</w:t>
      </w:r>
    </w:p>
    <w:p w:rsidR="00F366D7" w:rsidRPr="00982054" w:rsidRDefault="00F366D7" w:rsidP="00F366D7">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_____________ А.Ю. Ступин</w:t>
      </w:r>
    </w:p>
    <w:p w:rsidR="00F366D7" w:rsidRPr="00841494" w:rsidRDefault="00F366D7" w:rsidP="00F366D7">
      <w:pPr>
        <w:spacing w:after="0" w:line="360" w:lineRule="auto"/>
        <w:ind w:left="6521"/>
        <w:rPr>
          <w:rFonts w:ascii="Times New Roman" w:eastAsia="Calibri" w:hAnsi="Times New Roman" w:cs="Times New Roman"/>
          <w:sz w:val="28"/>
        </w:rPr>
      </w:pPr>
      <w:r>
        <w:rPr>
          <w:rFonts w:ascii="Times New Roman" w:eastAsia="Calibri" w:hAnsi="Times New Roman" w:cs="Times New Roman"/>
          <w:sz w:val="28"/>
        </w:rPr>
        <w:t>«___»  июня  2016 г.</w:t>
      </w:r>
    </w:p>
    <w:p w:rsidR="00F366D7" w:rsidRPr="00D149B7" w:rsidRDefault="00F366D7" w:rsidP="00F366D7">
      <w:pPr>
        <w:spacing w:after="0" w:line="360" w:lineRule="auto"/>
        <w:ind w:firstLine="709"/>
        <w:jc w:val="right"/>
        <w:rPr>
          <w:rFonts w:ascii="Times New Roman" w:eastAsia="Calibri" w:hAnsi="Times New Roman" w:cs="Times New Roman"/>
          <w:sz w:val="28"/>
        </w:rPr>
      </w:pPr>
    </w:p>
    <w:p w:rsidR="00F366D7" w:rsidRPr="00D149B7" w:rsidRDefault="00F366D7" w:rsidP="00F366D7">
      <w:pPr>
        <w:spacing w:after="160" w:line="259" w:lineRule="auto"/>
        <w:jc w:val="center"/>
        <w:rPr>
          <w:rFonts w:ascii="Times New Roman" w:eastAsia="Calibri" w:hAnsi="Times New Roman" w:cs="Times New Roman"/>
          <w:sz w:val="28"/>
          <w:szCs w:val="28"/>
        </w:rPr>
      </w:pPr>
    </w:p>
    <w:p w:rsidR="00434550" w:rsidRPr="00D67312" w:rsidRDefault="00434550" w:rsidP="00D67312">
      <w:pPr>
        <w:spacing w:before="600" w:after="480" w:line="240" w:lineRule="auto"/>
        <w:contextualSpacing/>
        <w:jc w:val="center"/>
        <w:rPr>
          <w:rFonts w:ascii="Times New Roman" w:eastAsia="Times New Roman" w:hAnsi="Times New Roman" w:cs="Times New Roman"/>
          <w:kern w:val="28"/>
          <w:sz w:val="28"/>
          <w:szCs w:val="28"/>
        </w:rPr>
      </w:pPr>
      <w:bookmarkStart w:id="0" w:name="_GoBack"/>
    </w:p>
    <w:p w:rsidR="00D67312" w:rsidRPr="00D67312" w:rsidRDefault="00434550" w:rsidP="00D67312">
      <w:pPr>
        <w:spacing w:before="600" w:after="480" w:line="240" w:lineRule="auto"/>
        <w:contextualSpacing/>
        <w:jc w:val="center"/>
        <w:rPr>
          <w:rFonts w:ascii="Times New Roman" w:eastAsia="Times New Roman" w:hAnsi="Times New Roman" w:cs="Times New Roman"/>
          <w:kern w:val="28"/>
          <w:sz w:val="28"/>
          <w:szCs w:val="28"/>
        </w:rPr>
      </w:pPr>
      <w:r>
        <w:rPr>
          <w:rFonts w:ascii="Times New Roman" w:hAnsi="Times New Roman" w:cs="Times New Roman"/>
          <w:sz w:val="28"/>
          <w:szCs w:val="28"/>
        </w:rPr>
        <w:t xml:space="preserve">Методология проведения оценки коррупционных </w:t>
      </w:r>
      <w:bookmarkEnd w:id="0"/>
      <w:r>
        <w:rPr>
          <w:rFonts w:ascii="Times New Roman" w:hAnsi="Times New Roman" w:cs="Times New Roman"/>
          <w:sz w:val="28"/>
          <w:szCs w:val="28"/>
        </w:rPr>
        <w:t xml:space="preserve">рисков в деятельности </w:t>
      </w:r>
      <w:r w:rsidR="00F366D7" w:rsidRPr="00F366D7">
        <w:rPr>
          <w:rFonts w:ascii="Times New Roman" w:hAnsi="Times New Roman" w:cs="Times New Roman"/>
          <w:sz w:val="28"/>
          <w:szCs w:val="28"/>
        </w:rPr>
        <w:t>ФГУП «ГНЦ«НИОПИК»</w:t>
      </w:r>
    </w:p>
    <w:p w:rsidR="00434550" w:rsidRDefault="00434550" w:rsidP="00D67312">
      <w:pPr>
        <w:spacing w:after="0" w:line="360" w:lineRule="auto"/>
        <w:ind w:firstLine="709"/>
        <w:jc w:val="both"/>
        <w:rPr>
          <w:rFonts w:ascii="Times New Roman" w:eastAsia="Calibri" w:hAnsi="Times New Roman" w:cs="Times New Roman"/>
          <w:sz w:val="28"/>
          <w:szCs w:val="28"/>
        </w:rPr>
      </w:pP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настоящей Методологии под лицом, представляющим интересы организации, понимается сотрудник организации, обладающий полномочиями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на осуществление отдельных действий данной организацией, либо готовить проекты таких решений.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bCs/>
          <w:sz w:val="28"/>
          <w:szCs w:val="28"/>
        </w:rPr>
        <w:t>Проведение мероприятий, предусмотренных настоящей Методологией, должно основываться на следующих принципах противодействия коррупции</w:t>
      </w:r>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признание, обеспечение и защита основных прав и свобод человека и гражданина;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законность;</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публичность и открытость деятельности;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неотвратимость ответственности за совершение коррупционных правонарушений;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приоритетное применение мер по предупреждению коррупции;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сотрудничество с институтами гражданского общества, международными организациями и физическими лицами.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выявления коррупционных схем следует учитывать, что подавляющее большинство из них созданы на основе следующих инструментов: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расстановка мнимых приоритетов по предмету, объему, срокам удовлетворения потребности и другим параметрам;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лоббирование осуществление финансовых потоков в «нужную» коррумпированному должностному лицу организацию;</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круга и места расположения исполнителей заказа, объема заказа;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объема необходимых финансовых средств для удовлетворения потребности.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проведения мероприятий по борьбе с коррупцией в организации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Во всех случаях нарушения условий договоров со стороны контрагентов подведомственная организация должна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D67312" w:rsidRPr="00D67312" w:rsidRDefault="00D67312" w:rsidP="00D67312">
      <w:pPr>
        <w:keepNext/>
        <w:keepLines/>
        <w:spacing w:after="120" w:line="240" w:lineRule="auto"/>
        <w:ind w:left="1134"/>
        <w:jc w:val="both"/>
        <w:outlineLvl w:val="1"/>
        <w:rPr>
          <w:rFonts w:ascii="Times New Roman" w:eastAsia="Times New Roman" w:hAnsi="Times New Roman" w:cs="Times New Roman"/>
          <w:sz w:val="28"/>
          <w:szCs w:val="28"/>
        </w:rPr>
      </w:pPr>
      <w:bookmarkStart w:id="1" w:name="_Toc445807499"/>
      <w:r w:rsidRPr="00D67312">
        <w:rPr>
          <w:rFonts w:ascii="Times New Roman" w:eastAsia="Times New Roman" w:hAnsi="Times New Roman" w:cs="Times New Roman"/>
          <w:sz w:val="28"/>
          <w:szCs w:val="28"/>
        </w:rPr>
        <w:t>Алгоритм сравнения цены договора с условиями рынка</w:t>
      </w:r>
      <w:bookmarkEnd w:id="1"/>
    </w:p>
    <w:p w:rsidR="00D67312" w:rsidRPr="00D67312" w:rsidRDefault="00D67312" w:rsidP="00D67312">
      <w:pPr>
        <w:keepNext/>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w:t>
      </w:r>
      <w:r w:rsidRPr="00D67312">
        <w:rPr>
          <w:rFonts w:ascii="Times New Roman" w:eastAsia="Calibri" w:hAnsi="Times New Roman" w:cs="Times New Roman"/>
          <w:sz w:val="28"/>
          <w:szCs w:val="28"/>
        </w:rPr>
        <w:tab/>
        <w:t>запрос анализируемого договора;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w:t>
      </w:r>
      <w:r w:rsidRPr="00D67312">
        <w:rPr>
          <w:rFonts w:ascii="Times New Roman" w:eastAsia="Calibri" w:hAnsi="Times New Roman" w:cs="Times New Roman"/>
          <w:sz w:val="28"/>
          <w:szCs w:val="28"/>
        </w:rPr>
        <w:tab/>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w:t>
      </w:r>
      <w:r w:rsidRPr="00D67312">
        <w:rPr>
          <w:rFonts w:ascii="Times New Roman" w:eastAsia="Calibri" w:hAnsi="Times New Roman" w:cs="Times New Roman"/>
          <w:sz w:val="28"/>
          <w:szCs w:val="28"/>
        </w:rPr>
        <w:tab/>
        <w:t>выявление дополнительных условий договора, носящих коррупционные риски;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w:t>
      </w:r>
      <w:r w:rsidRPr="00D67312">
        <w:rPr>
          <w:rFonts w:ascii="Times New Roman" w:eastAsia="Calibri" w:hAnsi="Times New Roman" w:cs="Times New Roman"/>
          <w:sz w:val="28"/>
          <w:szCs w:val="28"/>
        </w:rPr>
        <w:tab/>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5)</w:t>
      </w:r>
      <w:r w:rsidRPr="00D67312">
        <w:rPr>
          <w:rFonts w:ascii="Times New Roman" w:eastAsia="Calibri" w:hAnsi="Times New Roman" w:cs="Times New Roman"/>
          <w:sz w:val="28"/>
          <w:szCs w:val="28"/>
        </w:rPr>
        <w:tab/>
        <w:t>формирование запроса в подведомственную организацию,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6)</w:t>
      </w:r>
      <w:r w:rsidRPr="00D67312">
        <w:rPr>
          <w:rFonts w:ascii="Times New Roman" w:eastAsia="Calibri" w:hAnsi="Times New Roman" w:cs="Times New Roman"/>
          <w:sz w:val="28"/>
          <w:szCs w:val="28"/>
        </w:rPr>
        <w:tab/>
        <w:t>по результатам проведенной проверки составляется заключение, которое предоставляется на рассмотрение единоличному исполнительному органу подведомственной организации.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7)</w:t>
      </w:r>
      <w:r w:rsidRPr="00D67312">
        <w:rPr>
          <w:rFonts w:ascii="Times New Roman" w:eastAsia="Calibri" w:hAnsi="Times New Roman" w:cs="Times New Roman"/>
          <w:sz w:val="28"/>
          <w:szCs w:val="28"/>
        </w:rPr>
        <w:tab/>
        <w:t>при отсутствии обоснованных причин отклонения условий сделки от рыночных единоличный исполнительный орган организации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единоличный исполнительный орган организации сообщает в Комиссию по противодействию коррупции и урегулированию конфликта интересов организации о наличии коррупционной составляющей в соответствующей сделке (операции).</w:t>
      </w:r>
      <w:bookmarkStart w:id="2" w:name="_Toc445807500"/>
    </w:p>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D67312" w:rsidRPr="00D67312" w:rsidRDefault="00D67312" w:rsidP="00D67312">
      <w:pPr>
        <w:spacing w:after="0" w:line="240" w:lineRule="auto"/>
        <w:ind w:firstLine="709"/>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Профилактика и мониторинг коррупционных рисков </w:t>
      </w:r>
      <w:bookmarkStart w:id="3" w:name="_Toc445807501"/>
      <w:bookmarkEnd w:id="2"/>
    </w:p>
    <w:bookmarkEnd w:id="3"/>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181D38"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Коррупционные риски возникают в </w:t>
      </w:r>
      <w:r w:rsidR="00181D38">
        <w:rPr>
          <w:rFonts w:ascii="Times New Roman" w:eastAsia="Calibri" w:hAnsi="Times New Roman" w:cs="Times New Roman"/>
          <w:sz w:val="28"/>
          <w:szCs w:val="28"/>
        </w:rPr>
        <w:t>право</w:t>
      </w:r>
      <w:r w:rsidRPr="00D67312">
        <w:rPr>
          <w:rFonts w:ascii="Times New Roman" w:eastAsia="Calibri" w:hAnsi="Times New Roman" w:cs="Times New Roman"/>
          <w:sz w:val="28"/>
          <w:szCs w:val="28"/>
        </w:rPr>
        <w:t>отношениях различного характера</w:t>
      </w:r>
      <w:r w:rsidR="005C45D2">
        <w:rPr>
          <w:rFonts w:ascii="Times New Roman" w:eastAsia="Calibri" w:hAnsi="Times New Roman" w:cs="Times New Roman"/>
          <w:sz w:val="28"/>
          <w:szCs w:val="28"/>
        </w:rPr>
        <w:t>, в том числе при передаче или получении имущества в аренду, а также при распоряжении</w:t>
      </w:r>
      <w:r w:rsidR="00181D38">
        <w:rPr>
          <w:rFonts w:ascii="Times New Roman" w:eastAsia="Calibri" w:hAnsi="Times New Roman" w:cs="Times New Roman"/>
          <w:sz w:val="28"/>
          <w:szCs w:val="28"/>
        </w:rPr>
        <w:t xml:space="preserve"> исключительными правами на результаты интеллектуальной деятельности и приравненные к ним средства индивидуализации</w:t>
      </w:r>
      <w:r w:rsidRPr="00D67312">
        <w:rPr>
          <w:rFonts w:ascii="Times New Roman" w:eastAsia="Calibri" w:hAnsi="Times New Roman" w:cs="Times New Roman"/>
          <w:sz w:val="28"/>
          <w:szCs w:val="28"/>
        </w:rPr>
        <w:t xml:space="preserve">.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Особенностью </w:t>
      </w:r>
      <w:r w:rsidR="00D1019B">
        <w:rPr>
          <w:rFonts w:ascii="Times New Roman" w:eastAsia="Calibri" w:hAnsi="Times New Roman" w:cs="Times New Roman"/>
          <w:sz w:val="28"/>
          <w:szCs w:val="28"/>
        </w:rPr>
        <w:t xml:space="preserve">указанных </w:t>
      </w:r>
      <w:r w:rsidRPr="00D67312">
        <w:rPr>
          <w:rFonts w:ascii="Times New Roman" w:eastAsia="Calibri" w:hAnsi="Times New Roman" w:cs="Times New Roman"/>
          <w:sz w:val="28"/>
          <w:szCs w:val="28"/>
        </w:rPr>
        <w:t xml:space="preserve">сделок является их долгосрочный, характер. В этой связи они требуют предварительного контроля на этапе подготовки документов для заключения договора.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коррупционных схемах в сфере арендных отношений организация может выступать как в качестве арендатора, так и в качестве арендодателя.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целях профилактики и мониторинга </w:t>
      </w:r>
      <w:r w:rsidR="00D1019B">
        <w:rPr>
          <w:rFonts w:ascii="Times New Roman" w:eastAsia="Calibri" w:hAnsi="Times New Roman" w:cs="Times New Roman"/>
          <w:sz w:val="28"/>
          <w:szCs w:val="28"/>
        </w:rPr>
        <w:t xml:space="preserve">коррупционных </w:t>
      </w:r>
      <w:r w:rsidRPr="00D67312">
        <w:rPr>
          <w:rFonts w:ascii="Times New Roman" w:eastAsia="Calibri" w:hAnsi="Times New Roman" w:cs="Times New Roman"/>
          <w:sz w:val="28"/>
          <w:szCs w:val="28"/>
        </w:rPr>
        <w:t xml:space="preserve">рисков необходимо провести процедуру оценки возможности возникновения коррупционной составляющей </w:t>
      </w:r>
      <w:r w:rsidR="00D1019B">
        <w:rPr>
          <w:rFonts w:ascii="Times New Roman" w:eastAsia="Calibri" w:hAnsi="Times New Roman" w:cs="Times New Roman"/>
          <w:sz w:val="28"/>
          <w:szCs w:val="28"/>
        </w:rPr>
        <w:t xml:space="preserve">при совершении </w:t>
      </w:r>
      <w:r w:rsidRPr="00D67312">
        <w:rPr>
          <w:rFonts w:ascii="Times New Roman" w:eastAsia="Calibri" w:hAnsi="Times New Roman" w:cs="Times New Roman"/>
          <w:sz w:val="28"/>
          <w:szCs w:val="28"/>
        </w:rPr>
        <w:t>следующих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сдача в аренду недвижимого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аренда недвижимого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сдача в аренду 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аренда 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распоряжение исключительным</w:t>
      </w:r>
      <w:r w:rsidR="00882E47">
        <w:rPr>
          <w:rFonts w:ascii="Times New Roman" w:eastAsia="Calibri" w:hAnsi="Times New Roman" w:cs="Times New Roman"/>
          <w:sz w:val="28"/>
          <w:szCs w:val="28"/>
        </w:rPr>
        <w:t>и</w:t>
      </w:r>
      <w:r w:rsidRPr="00D67312">
        <w:rPr>
          <w:rFonts w:ascii="Times New Roman" w:eastAsia="Calibri" w:hAnsi="Times New Roman" w:cs="Times New Roman"/>
          <w:sz w:val="28"/>
          <w:szCs w:val="28"/>
        </w:rPr>
        <w:t xml:space="preserve"> прав</w:t>
      </w:r>
      <w:r w:rsidR="00882E47">
        <w:rPr>
          <w:rFonts w:ascii="Times New Roman" w:eastAsia="Calibri" w:hAnsi="Times New Roman" w:cs="Times New Roman"/>
          <w:sz w:val="28"/>
          <w:szCs w:val="28"/>
        </w:rPr>
        <w:t>ами</w:t>
      </w:r>
      <w:r w:rsidRPr="00D67312">
        <w:rPr>
          <w:rFonts w:ascii="Times New Roman" w:eastAsia="Calibri" w:hAnsi="Times New Roman" w:cs="Times New Roman"/>
          <w:sz w:val="28"/>
          <w:szCs w:val="28"/>
        </w:rPr>
        <w:t xml:space="preserve"> на результат</w:t>
      </w:r>
      <w:r w:rsidR="00D1019B">
        <w:rPr>
          <w:rFonts w:ascii="Times New Roman" w:eastAsia="Calibri" w:hAnsi="Times New Roman" w:cs="Times New Roman"/>
          <w:sz w:val="28"/>
          <w:szCs w:val="28"/>
        </w:rPr>
        <w:t>ы</w:t>
      </w:r>
      <w:r w:rsidRPr="00D67312">
        <w:rPr>
          <w:rFonts w:ascii="Times New Roman" w:eastAsia="Calibri" w:hAnsi="Times New Roman" w:cs="Times New Roman"/>
          <w:sz w:val="28"/>
          <w:szCs w:val="28"/>
        </w:rPr>
        <w:t xml:space="preserve"> интеллектуальной деятельности и </w:t>
      </w:r>
      <w:r w:rsidR="00D1019B">
        <w:rPr>
          <w:rFonts w:ascii="Times New Roman" w:eastAsia="Calibri" w:hAnsi="Times New Roman" w:cs="Times New Roman"/>
          <w:sz w:val="28"/>
          <w:szCs w:val="28"/>
        </w:rPr>
        <w:t>приравненны</w:t>
      </w:r>
      <w:r w:rsidR="00882E47">
        <w:rPr>
          <w:rFonts w:ascii="Times New Roman" w:eastAsia="Calibri" w:hAnsi="Times New Roman" w:cs="Times New Roman"/>
          <w:sz w:val="28"/>
          <w:szCs w:val="28"/>
        </w:rPr>
        <w:t>е</w:t>
      </w:r>
      <w:r w:rsidR="00D1019B">
        <w:rPr>
          <w:rFonts w:ascii="Times New Roman" w:eastAsia="Calibri" w:hAnsi="Times New Roman" w:cs="Times New Roman"/>
          <w:sz w:val="28"/>
          <w:szCs w:val="28"/>
        </w:rPr>
        <w:t xml:space="preserve"> к ним </w:t>
      </w:r>
      <w:r w:rsidRPr="00D67312">
        <w:rPr>
          <w:rFonts w:ascii="Times New Roman" w:eastAsia="Calibri" w:hAnsi="Times New Roman" w:cs="Times New Roman"/>
          <w:sz w:val="28"/>
          <w:szCs w:val="28"/>
        </w:rPr>
        <w:t>средств</w:t>
      </w:r>
      <w:r w:rsidR="00882E47">
        <w:rPr>
          <w:rFonts w:ascii="Times New Roman" w:eastAsia="Calibri" w:hAnsi="Times New Roman" w:cs="Times New Roman"/>
          <w:sz w:val="28"/>
          <w:szCs w:val="28"/>
        </w:rPr>
        <w:t>а</w:t>
      </w:r>
      <w:r w:rsidRPr="00D67312">
        <w:rPr>
          <w:rFonts w:ascii="Times New Roman" w:eastAsia="Calibri" w:hAnsi="Times New Roman" w:cs="Times New Roman"/>
          <w:sz w:val="28"/>
          <w:szCs w:val="28"/>
        </w:rPr>
        <w:t xml:space="preserve"> индивидуализации;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финансовая аренда (лизинг).</w:t>
      </w:r>
    </w:p>
    <w:p w:rsidR="00D67312" w:rsidRPr="00D67312" w:rsidRDefault="00D67312" w:rsidP="00D67312">
      <w:pPr>
        <w:keepNext/>
        <w:keepLines/>
        <w:spacing w:before="240" w:after="240" w:line="360" w:lineRule="auto"/>
        <w:ind w:left="1134"/>
        <w:jc w:val="both"/>
        <w:outlineLvl w:val="1"/>
        <w:rPr>
          <w:rFonts w:ascii="Times New Roman" w:eastAsia="Times New Roman" w:hAnsi="Times New Roman" w:cs="Times New Roman"/>
          <w:sz w:val="28"/>
          <w:szCs w:val="28"/>
        </w:rPr>
      </w:pPr>
      <w:bookmarkStart w:id="4" w:name="_Toc445807502"/>
      <w:r w:rsidRPr="00D67312">
        <w:rPr>
          <w:rFonts w:ascii="Times New Roman" w:eastAsia="Times New Roman" w:hAnsi="Times New Roman" w:cs="Times New Roman"/>
          <w:sz w:val="28"/>
          <w:szCs w:val="28"/>
        </w:rPr>
        <w:t>Определение рыночной стоимости аренды объекта недвижимости</w:t>
      </w:r>
      <w:bookmarkEnd w:id="4"/>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соответствии со статьей8 Федерального закона от 29 июля 1998 г. № 135-ФЗ </w:t>
      </w:r>
      <w:r w:rsidRPr="00D67312">
        <w:rPr>
          <w:rFonts w:ascii="Times New Roman" w:eastAsia="Calibri" w:hAnsi="Times New Roman" w:cs="Times New Roman"/>
          <w:sz w:val="28"/>
          <w:szCs w:val="28"/>
        </w:rPr>
        <w:br/>
        <w:t>«Об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В случае если объекты недвижимости, сдаваемые в аренду подведомственными организациями,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подведомственных организаций. Одновременно с этим закрепляется правило выбора независимого оценщика осуществляющееся на конкурсной основе.</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недвижимости в объеме, превышающем 100 м</w:t>
      </w:r>
      <w:r w:rsidRPr="00D67312">
        <w:rPr>
          <w:rFonts w:ascii="Times New Roman" w:eastAsia="Calibri" w:hAnsi="Times New Roman" w:cs="Times New Roman"/>
          <w:sz w:val="28"/>
          <w:szCs w:val="28"/>
          <w:vertAlign w:val="superscript"/>
        </w:rPr>
        <w:t xml:space="preserve">2 </w:t>
      </w:r>
      <w:r w:rsidRPr="00D67312">
        <w:rPr>
          <w:rFonts w:ascii="Times New Roman" w:eastAsia="Calibri" w:hAnsi="Times New Roman" w:cs="Times New Roman"/>
          <w:sz w:val="28"/>
          <w:szCs w:val="28"/>
        </w:rPr>
        <w:t>для офисных и жилых помещений и 500 м</w:t>
      </w:r>
      <w:r w:rsidRPr="00D67312">
        <w:rPr>
          <w:rFonts w:ascii="Times New Roman" w:eastAsia="Calibri" w:hAnsi="Times New Roman" w:cs="Times New Roman"/>
          <w:sz w:val="28"/>
          <w:szCs w:val="28"/>
          <w:vertAlign w:val="superscript"/>
        </w:rPr>
        <w:t>2</w:t>
      </w:r>
      <w:r w:rsidRPr="00D67312">
        <w:rPr>
          <w:rFonts w:ascii="Times New Roman" w:eastAsia="Calibri" w:hAnsi="Times New Roman" w:cs="Times New Roman"/>
          <w:sz w:val="28"/>
          <w:szCs w:val="28"/>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Проведение экспресс-оценки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xml:space="preserve">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по аренде рыночным условиям применяется следующая формула:</w:t>
      </w:r>
    </w:p>
    <w:p w:rsidR="00D67312" w:rsidRPr="00D67312" w:rsidRDefault="00D67312" w:rsidP="00D67312">
      <w:pPr>
        <w:keepNext/>
        <w:keepLines/>
        <w:spacing w:after="0" w:line="240" w:lineRule="auto"/>
        <w:jc w:val="center"/>
        <w:rPr>
          <w:rFonts w:ascii="Times New Roman" w:eastAsia="Times New Roman" w:hAnsi="Times New Roman" w:cs="Times New Roman"/>
          <w:sz w:val="28"/>
          <w:szCs w:val="28"/>
        </w:rPr>
      </w:pPr>
      <w:proofErr w:type="spellStart"/>
      <w:r w:rsidRPr="00D67312">
        <w:rPr>
          <w:rFonts w:ascii="Times New Roman" w:eastAsia="Times New Roman" w:hAnsi="Times New Roman" w:cs="Times New Roman"/>
          <w:sz w:val="28"/>
          <w:szCs w:val="28"/>
          <w:lang w:val="en-US"/>
        </w:rPr>
        <w:t>Kca</w:t>
      </w:r>
      <w:proofErr w:type="spellEnd"/>
      <w:r w:rsidRPr="00D67312">
        <w:rPr>
          <w:rFonts w:ascii="Times New Roman" w:eastAsia="Times New Roman"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3+</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4+</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5</m:t>
                </m:r>
              </m:e>
            </m:d>
            <m:r>
              <m:rPr>
                <m:sty m:val="p"/>
              </m:rPr>
              <w:rPr>
                <w:rFonts w:ascii="Cambria Math" w:eastAsia="Calibri" w:hAnsi="Cambria Math" w:cs="Times New Roman"/>
                <w:sz w:val="28"/>
                <w:szCs w:val="28"/>
              </w:rPr>
              <m:t>/5</m:t>
            </m:r>
          </m:num>
          <m:den>
            <m:r>
              <m:rPr>
                <m:sty m:val="p"/>
              </m:rPr>
              <w:rPr>
                <w:rFonts w:ascii="Cambria Math" w:eastAsia="Calibri" w:hAnsi="Cambria Math" w:cs="Times New Roman"/>
                <w:sz w:val="28"/>
                <w:szCs w:val="28"/>
              </w:rPr>
              <m:t>Cao</m:t>
            </m:r>
          </m:den>
        </m:f>
      </m:oMath>
      <w:r w:rsidRPr="00D67312">
        <w:rPr>
          <w:rFonts w:ascii="Times New Roman" w:eastAsia="Times New Roman" w:hAnsi="Times New Roman" w:cs="Times New Roman"/>
          <w:sz w:val="28"/>
          <w:szCs w:val="28"/>
        </w:rPr>
        <w:t>, где;</w:t>
      </w:r>
    </w:p>
    <w:p w:rsidR="00D67312" w:rsidRPr="00D67312" w:rsidRDefault="00D67312" w:rsidP="00D67312">
      <w:pPr>
        <w:keepNext/>
        <w:keepLines/>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коэффициент соответствия стоимости аренды недвижимого имущества рыночным условиям;</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Cao</w:t>
      </w:r>
      <w:r w:rsidRPr="00D67312">
        <w:rPr>
          <w:rFonts w:ascii="Times New Roman" w:eastAsia="Calibri" w:hAnsi="Times New Roman" w:cs="Times New Roman"/>
          <w:sz w:val="28"/>
          <w:szCs w:val="28"/>
        </w:rPr>
        <w:t xml:space="preserve"> – ставка арендной платы по анализируемой сделке, руб./м</w:t>
      </w:r>
      <w:r w:rsidRPr="00D67312">
        <w:rPr>
          <w:rFonts w:ascii="Times New Roman" w:eastAsia="Calibri" w:hAnsi="Times New Roman" w:cs="Times New Roman"/>
          <w:sz w:val="28"/>
          <w:szCs w:val="28"/>
          <w:vertAlign w:val="superscript"/>
        </w:rPr>
        <w:t>2</w:t>
      </w:r>
      <w:r w:rsidRPr="00D67312">
        <w:rPr>
          <w:rFonts w:ascii="Times New Roman" w:eastAsia="Calibri" w:hAnsi="Times New Roman" w:cs="Times New Roman"/>
          <w:sz w:val="28"/>
          <w:szCs w:val="28"/>
        </w:rPr>
        <w:t xml:space="preserve"> в год;</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1,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2,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3,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4,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5 – рыночные предложения по ставкам арендной платы по максимально схожим объектам недвижимости и объемам арендуемых площадей, руб./м</w:t>
      </w:r>
      <w:r w:rsidRPr="00D67312">
        <w:rPr>
          <w:rFonts w:ascii="Times New Roman" w:eastAsia="Calibri" w:hAnsi="Times New Roman" w:cs="Times New Roman"/>
          <w:sz w:val="28"/>
          <w:szCs w:val="28"/>
          <w:vertAlign w:val="superscript"/>
        </w:rPr>
        <w:t>2</w:t>
      </w:r>
      <w:r w:rsidRPr="00D67312">
        <w:rPr>
          <w:rFonts w:ascii="Times New Roman" w:eastAsia="Calibri" w:hAnsi="Times New Roman" w:cs="Times New Roman"/>
          <w:sz w:val="28"/>
          <w:szCs w:val="28"/>
        </w:rPr>
        <w:t> в год.</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аренде объекта недвижимости может свидетельствовать значение </w:t>
      </w: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 ≥ </w:t>
      </w: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 1,1.</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недвижимости от рыночных аналогов. </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5" w:name="_Toc445807503"/>
      <w:r w:rsidRPr="00D67312">
        <w:rPr>
          <w:rFonts w:ascii="Times New Roman" w:eastAsia="Times New Roman" w:hAnsi="Times New Roman" w:cs="Times New Roman"/>
          <w:sz w:val="28"/>
          <w:szCs w:val="28"/>
        </w:rPr>
        <w:t>Коррупционные риски, возникающие при сдаче и получении в аренду недвижимого имущества</w:t>
      </w:r>
      <w:bookmarkEnd w:id="5"/>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При осуществлении профилактики коррупционных рисков в данной области и их мониторинге необходимо осуществить комплекс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Наличие коррупционной составляющей при совершении сделок по сдаче организацией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Анализ на предмет наличия коррупционной составляющей при получении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этом следует рассмотреть: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наличие для организации обоснованной необходимости аренды помещений;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рациональность объемов арендуемых площадей;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существование потребности арендатора в предоставляемых в соответствии с договором аренды дополнительных услугах.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w:t>
      </w:r>
      <w:r w:rsidRPr="00D67312">
        <w:rPr>
          <w:rFonts w:ascii="Times New Roman" w:eastAsia="Calibri" w:hAnsi="Times New Roman" w:cs="Times New Roman"/>
          <w:sz w:val="28"/>
          <w:szCs w:val="28"/>
        </w:rPr>
        <w:lastRenderedPageBreak/>
        <w:t>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Провести анализ на предмет наличия коррупционной составляющей при сдаче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реализации подобной коррупционной схемы в организации существует механизм выплаты незаконного вознаграждения арендатору представителем организации.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Анализ коррупционной составляющей при заключении договоров аренды организацией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6" w:name="_Toc445807504"/>
      <w:r w:rsidRPr="00D67312">
        <w:rPr>
          <w:rFonts w:ascii="Times New Roman" w:eastAsia="Times New Roman" w:hAnsi="Times New Roman" w:cs="Times New Roman"/>
          <w:sz w:val="28"/>
          <w:szCs w:val="28"/>
        </w:rPr>
        <w:t>Определение рыночной стоимости аренды объектов движимого имущества</w:t>
      </w:r>
      <w:bookmarkEnd w:id="6"/>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соответствии со статьей 8 Федерального закона от 29 июля 1998 г. № 135-ФЗ «Об оценочной деятельности в Российской Федерации» определение рыночной </w:t>
      </w:r>
      <w:r w:rsidRPr="00D67312">
        <w:rPr>
          <w:rFonts w:ascii="Times New Roman" w:eastAsia="Calibri" w:hAnsi="Times New Roman" w:cs="Times New Roman"/>
          <w:sz w:val="28"/>
          <w:szCs w:val="28"/>
        </w:rPr>
        <w:lastRenderedPageBreak/>
        <w:t>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Проведение экспресс-оценки приблизительной стоимости аренды объектов движимого имущества методом сравнительных оценок и методом восстановительной стоимости.</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w:t>
      </w:r>
      <w:r w:rsidRPr="00D67312">
        <w:rPr>
          <w:rFonts w:ascii="Times New Roman" w:eastAsia="Calibri" w:hAnsi="Times New Roman" w:cs="Times New Roman"/>
          <w:sz w:val="28"/>
          <w:szCs w:val="28"/>
        </w:rPr>
        <w:lastRenderedPageBreak/>
        <w:t xml:space="preserve">сети Интернет на официальных сайтах производителей и дилеров (продавцов), в специальных периодических печатных изданиях и из интернет – ресурсов.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по аренде движимого имущества рыночным условиям применяется одна из формул:</w:t>
      </w:r>
    </w:p>
    <w:p w:rsidR="00D67312" w:rsidRPr="00D67312" w:rsidRDefault="00D67312" w:rsidP="00D67312">
      <w:pPr>
        <w:numPr>
          <w:ilvl w:val="0"/>
          <w:numId w:val="1"/>
        </w:numPr>
        <w:spacing w:after="0" w:line="240" w:lineRule="auto"/>
        <w:contextualSpacing/>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Cao</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коэффициент соответствия стоимости аренды движимого имущества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Cao</w:t>
      </w:r>
      <w:proofErr w:type="spellEnd"/>
      <w:r w:rsidRPr="00D67312">
        <w:rPr>
          <w:rFonts w:ascii="Times New Roman" w:eastAsia="Calibri" w:hAnsi="Times New Roman" w:cs="Times New Roman"/>
          <w:sz w:val="28"/>
          <w:szCs w:val="28"/>
        </w:rPr>
        <w:t xml:space="preserve"> – ставка арендной платы по анализируемой сделке, руб./мес.</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Ca1, Ca2, Ca3 – рыночные предложения по ставкам арендной платы по максимально схожим объектам движимого имущества, руб./мес.</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 ≥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1,1.</w:t>
      </w:r>
    </w:p>
    <w:p w:rsidR="00D67312" w:rsidRPr="00D67312" w:rsidRDefault="00D67312" w:rsidP="00D67312">
      <w:pPr>
        <w:numPr>
          <w:ilvl w:val="0"/>
          <w:numId w:val="1"/>
        </w:numPr>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w:t>
      </w:r>
      <w:proofErr w:type="spellStart"/>
      <w:r w:rsidRPr="00D67312">
        <w:rPr>
          <w:rFonts w:ascii="Times New Roman" w:eastAsia="Calibri" w:hAnsi="Times New Roman" w:cs="Times New Roman"/>
          <w:sz w:val="28"/>
          <w:szCs w:val="28"/>
        </w:rPr>
        <w:t>вс</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lang w:val="en-US"/>
              </w:rPr>
            </m:ctrlPr>
          </m:fPr>
          <m:num>
            <m:r>
              <m:rPr>
                <m:sty m:val="p"/>
              </m:rPr>
              <w:rPr>
                <w:rFonts w:ascii="Cambria Math" w:eastAsia="Calibri" w:hAnsi="Cambria Math" w:cs="Times New Roman"/>
                <w:sz w:val="28"/>
                <w:szCs w:val="28"/>
                <w:lang w:val="en-US"/>
              </w:rPr>
              <m:t>Cao</m:t>
            </m:r>
          </m:num>
          <m:den>
            <m:r>
              <m:rPr>
                <m:sty m:val="p"/>
              </m:rPr>
              <w:rPr>
                <w:rFonts w:ascii="Cambria Math" w:eastAsia="Calibri" w:hAnsi="Cambria Math" w:cs="Times New Roman"/>
                <w:sz w:val="28"/>
                <w:szCs w:val="28"/>
                <w:lang w:val="en-US"/>
              </w:rPr>
              <m:t>Рсо</m:t>
            </m:r>
          </m:den>
        </m:f>
      </m:oMath>
      <w:r w:rsidRPr="00D67312">
        <w:rPr>
          <w:rFonts w:ascii="Times New Roman" w:eastAsia="Times New Roman" w:hAnsi="Times New Roman" w:cs="Times New Roman"/>
          <w:sz w:val="28"/>
          <w:szCs w:val="28"/>
        </w:rPr>
        <w:t>, где</w:t>
      </w:r>
      <w:r w:rsidRPr="00D67312">
        <w:rPr>
          <w:rFonts w:ascii="Times New Roman" w:eastAsia="Times New Roman" w:hAnsi="Times New Roman" w:cs="Times New Roman"/>
          <w:sz w:val="28"/>
          <w:szCs w:val="28"/>
          <w:lang w:val="en-US"/>
        </w:rPr>
        <w:t>:</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Квс</w:t>
      </w:r>
      <w:proofErr w:type="spellEnd"/>
      <w:r w:rsidRPr="00D67312">
        <w:rPr>
          <w:rFonts w:ascii="Times New Roman" w:eastAsia="Calibri" w:hAnsi="Times New Roman" w:cs="Times New Roman"/>
          <w:sz w:val="28"/>
          <w:szCs w:val="28"/>
        </w:rPr>
        <w:t xml:space="preserve"> – коэффициент восстановительной стоимости объекта;</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Сао</w:t>
      </w:r>
      <w:proofErr w:type="spellEnd"/>
      <w:r w:rsidRPr="00D67312">
        <w:rPr>
          <w:rFonts w:ascii="Times New Roman" w:eastAsia="Calibri" w:hAnsi="Times New Roman" w:cs="Times New Roman"/>
          <w:sz w:val="28"/>
          <w:szCs w:val="28"/>
        </w:rPr>
        <w:t xml:space="preserve"> - ставка арендной платы по анализируемой сделке, руб./мес.</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Рсо</w:t>
      </w:r>
      <w:proofErr w:type="spellEnd"/>
      <w:r w:rsidRPr="00D67312">
        <w:rPr>
          <w:rFonts w:ascii="Times New Roman" w:eastAsia="Calibri" w:hAnsi="Times New Roman" w:cs="Times New Roman"/>
          <w:sz w:val="28"/>
          <w:szCs w:val="28"/>
        </w:rPr>
        <w:t xml:space="preserve"> – восстановительная стоимость объекта движимого имущества (текущая рыночная стоимость нового аналога).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D67312">
        <w:rPr>
          <w:rFonts w:ascii="Times New Roman" w:eastAsia="Calibri" w:hAnsi="Times New Roman" w:cs="Times New Roman"/>
          <w:sz w:val="28"/>
          <w:szCs w:val="28"/>
        </w:rPr>
        <w:t>Kвc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0,06 ≥ </w:t>
      </w:r>
      <w:proofErr w:type="spellStart"/>
      <w:r w:rsidRPr="00D67312">
        <w:rPr>
          <w:rFonts w:ascii="Times New Roman" w:eastAsia="Calibri" w:hAnsi="Times New Roman" w:cs="Times New Roman"/>
          <w:sz w:val="28"/>
          <w:szCs w:val="28"/>
        </w:rPr>
        <w:t>Kвc</w:t>
      </w:r>
      <w:proofErr w:type="spellEnd"/>
      <w:r w:rsidRPr="00D67312">
        <w:rPr>
          <w:rFonts w:ascii="Times New Roman" w:eastAsia="Calibri" w:hAnsi="Times New Roman" w:cs="Times New Roman"/>
          <w:sz w:val="28"/>
          <w:szCs w:val="28"/>
        </w:rPr>
        <w:t xml:space="preserve"> ≤ 0,08.</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движимого имущества от рыночных условий.</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7" w:name="_Toc445807505"/>
      <w:r w:rsidRPr="00D67312">
        <w:rPr>
          <w:rFonts w:ascii="Times New Roman" w:eastAsia="Times New Roman" w:hAnsi="Times New Roman" w:cs="Times New Roman"/>
          <w:sz w:val="28"/>
          <w:szCs w:val="28"/>
        </w:rPr>
        <w:t>Коррупционные риски, возникающие при сдаче и получении в аренду движимого имущества</w:t>
      </w:r>
      <w:bookmarkEnd w:id="7"/>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w:t>
      </w:r>
      <w:r w:rsidRPr="00D67312">
        <w:rPr>
          <w:rFonts w:ascii="Times New Roman" w:eastAsia="Calibri" w:hAnsi="Times New Roman" w:cs="Times New Roman"/>
          <w:sz w:val="28"/>
          <w:szCs w:val="28"/>
        </w:rPr>
        <w:lastRenderedPageBreak/>
        <w:t xml:space="preserve">вычислительную технику, мебель и иное движимое имущество в соответствии со статьей 130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данных сделок осуществляется: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необходимости в аренде 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оценка обоснованности выбора объекта аренды.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этом особое внимание уделяется классификации объекта движимого имущества, сдаваемого или получаемого в аренду организацией для определения рыночной стоимости аренды аналогичных объектов.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Коррупционной составляющей при совершении сделок по сдаче организацией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w:t>
      </w:r>
      <w:r w:rsidRPr="00D67312">
        <w:rPr>
          <w:rFonts w:ascii="Times New Roman" w:eastAsia="Calibri" w:hAnsi="Times New Roman" w:cs="Times New Roman"/>
          <w:sz w:val="28"/>
          <w:szCs w:val="28"/>
        </w:rPr>
        <w:lastRenderedPageBreak/>
        <w:t xml:space="preserve">сделки и может привести к превышению стоимости потребленных арендатором дополнительных услуг над стоимостью арендной платы.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Коррупционной составляющей при получении организацией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Одним из коррупционных рисков при заключении договоров аренды организацией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8" w:name="_Toc445807506"/>
      <w:r w:rsidRPr="00D67312">
        <w:rPr>
          <w:rFonts w:ascii="Times New Roman" w:eastAsia="Times New Roman" w:hAnsi="Times New Roman" w:cs="Times New Roman"/>
          <w:sz w:val="28"/>
          <w:szCs w:val="28"/>
        </w:rPr>
        <w:t>Коррупционные риски, возникающие при распоряжении исключительным</w:t>
      </w:r>
      <w:r w:rsidR="00882E47">
        <w:rPr>
          <w:rFonts w:ascii="Times New Roman" w:eastAsia="Times New Roman" w:hAnsi="Times New Roman" w:cs="Times New Roman"/>
          <w:sz w:val="28"/>
          <w:szCs w:val="28"/>
        </w:rPr>
        <w:t>и</w:t>
      </w:r>
      <w:r w:rsidRPr="00D67312">
        <w:rPr>
          <w:rFonts w:ascii="Times New Roman" w:eastAsia="Times New Roman" w:hAnsi="Times New Roman" w:cs="Times New Roman"/>
          <w:sz w:val="28"/>
          <w:szCs w:val="28"/>
        </w:rPr>
        <w:t xml:space="preserve"> прав</w:t>
      </w:r>
      <w:r w:rsidR="00882E47">
        <w:rPr>
          <w:rFonts w:ascii="Times New Roman" w:eastAsia="Times New Roman" w:hAnsi="Times New Roman" w:cs="Times New Roman"/>
          <w:sz w:val="28"/>
          <w:szCs w:val="28"/>
        </w:rPr>
        <w:t>ами</w:t>
      </w:r>
      <w:r w:rsidRPr="00D67312">
        <w:rPr>
          <w:rFonts w:ascii="Times New Roman" w:eastAsia="Times New Roman" w:hAnsi="Times New Roman" w:cs="Times New Roman"/>
          <w:sz w:val="28"/>
          <w:szCs w:val="28"/>
        </w:rPr>
        <w:t xml:space="preserve"> на </w:t>
      </w:r>
      <w:bookmarkEnd w:id="8"/>
      <w:r w:rsidRPr="00D67312">
        <w:rPr>
          <w:rFonts w:ascii="Times New Roman" w:eastAsia="Times New Roman" w:hAnsi="Times New Roman" w:cs="Times New Roman"/>
          <w:sz w:val="28"/>
          <w:szCs w:val="28"/>
        </w:rPr>
        <w:t>результат</w:t>
      </w:r>
      <w:r w:rsidR="00882E47">
        <w:rPr>
          <w:rFonts w:ascii="Times New Roman" w:eastAsia="Times New Roman" w:hAnsi="Times New Roman" w:cs="Times New Roman"/>
          <w:sz w:val="28"/>
          <w:szCs w:val="28"/>
        </w:rPr>
        <w:t>ы</w:t>
      </w:r>
      <w:r w:rsidRPr="00D67312">
        <w:rPr>
          <w:rFonts w:ascii="Times New Roman" w:eastAsia="Times New Roman" w:hAnsi="Times New Roman" w:cs="Times New Roman"/>
          <w:sz w:val="28"/>
          <w:szCs w:val="28"/>
        </w:rPr>
        <w:t xml:space="preserve"> интеллектуальной деятельности и </w:t>
      </w:r>
      <w:r w:rsidR="00882E47">
        <w:rPr>
          <w:rFonts w:ascii="Times New Roman" w:eastAsia="Times New Roman" w:hAnsi="Times New Roman" w:cs="Times New Roman"/>
          <w:sz w:val="28"/>
          <w:szCs w:val="28"/>
        </w:rPr>
        <w:t xml:space="preserve">приравненные к ним </w:t>
      </w:r>
      <w:r w:rsidRPr="00D67312">
        <w:rPr>
          <w:rFonts w:ascii="Times New Roman" w:eastAsia="Times New Roman" w:hAnsi="Times New Roman" w:cs="Times New Roman"/>
          <w:sz w:val="28"/>
          <w:szCs w:val="28"/>
        </w:rPr>
        <w:t>средств</w:t>
      </w:r>
      <w:r w:rsidR="00882E47">
        <w:rPr>
          <w:rFonts w:ascii="Times New Roman" w:eastAsia="Times New Roman" w:hAnsi="Times New Roman" w:cs="Times New Roman"/>
          <w:sz w:val="28"/>
          <w:szCs w:val="28"/>
        </w:rPr>
        <w:t>а</w:t>
      </w:r>
      <w:r w:rsidRPr="00D67312">
        <w:rPr>
          <w:rFonts w:ascii="Times New Roman" w:eastAsia="Times New Roman" w:hAnsi="Times New Roman" w:cs="Times New Roman"/>
          <w:sz w:val="28"/>
          <w:szCs w:val="28"/>
        </w:rPr>
        <w:t xml:space="preserve"> индивидуализации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выявлении коррупционных рисков, связанных с заключением лицензионных договоров</w:t>
      </w:r>
      <w:r w:rsidR="00727295">
        <w:rPr>
          <w:rFonts w:ascii="Times New Roman" w:eastAsia="Calibri" w:hAnsi="Times New Roman" w:cs="Times New Roman"/>
          <w:sz w:val="28"/>
          <w:szCs w:val="28"/>
        </w:rPr>
        <w:t xml:space="preserve">, </w:t>
      </w:r>
      <w:r w:rsidRPr="00D67312">
        <w:rPr>
          <w:rFonts w:ascii="Times New Roman" w:eastAsia="Calibri" w:hAnsi="Times New Roman" w:cs="Times New Roman"/>
          <w:sz w:val="28"/>
          <w:szCs w:val="28"/>
        </w:rPr>
        <w:t xml:space="preserve"> </w:t>
      </w:r>
      <w:r w:rsidR="00727295" w:rsidRPr="00D67312">
        <w:rPr>
          <w:rFonts w:ascii="Times New Roman" w:eastAsia="Calibri" w:hAnsi="Times New Roman" w:cs="Times New Roman"/>
          <w:sz w:val="28"/>
          <w:szCs w:val="28"/>
        </w:rPr>
        <w:t>необходимо определить</w:t>
      </w:r>
      <w:r w:rsidR="00727295">
        <w:rPr>
          <w:rFonts w:ascii="Times New Roman" w:eastAsia="Calibri" w:hAnsi="Times New Roman" w:cs="Times New Roman"/>
          <w:sz w:val="28"/>
          <w:szCs w:val="28"/>
        </w:rPr>
        <w:t xml:space="preserve"> результат интеллектуальной деятельности или п</w:t>
      </w:r>
      <w:r w:rsidR="00727295" w:rsidRPr="00D67312">
        <w:rPr>
          <w:rFonts w:ascii="Times New Roman" w:eastAsia="Calibri" w:hAnsi="Times New Roman" w:cs="Times New Roman"/>
          <w:sz w:val="28"/>
          <w:szCs w:val="28"/>
        </w:rPr>
        <w:t>риравненн</w:t>
      </w:r>
      <w:r w:rsidR="00727295">
        <w:rPr>
          <w:rFonts w:ascii="Times New Roman" w:eastAsia="Calibri" w:hAnsi="Times New Roman" w:cs="Times New Roman"/>
          <w:sz w:val="28"/>
          <w:szCs w:val="28"/>
        </w:rPr>
        <w:t>ое</w:t>
      </w:r>
      <w:r w:rsidR="00727295" w:rsidRPr="00D67312">
        <w:rPr>
          <w:rFonts w:ascii="Times New Roman" w:eastAsia="Calibri" w:hAnsi="Times New Roman" w:cs="Times New Roman"/>
          <w:sz w:val="28"/>
          <w:szCs w:val="28"/>
        </w:rPr>
        <w:t xml:space="preserve"> к н</w:t>
      </w:r>
      <w:r w:rsidR="00727295">
        <w:rPr>
          <w:rFonts w:ascii="Times New Roman" w:eastAsia="Calibri" w:hAnsi="Times New Roman" w:cs="Times New Roman"/>
          <w:sz w:val="28"/>
          <w:szCs w:val="28"/>
        </w:rPr>
        <w:t xml:space="preserve">ему </w:t>
      </w:r>
      <w:r w:rsidR="00727295" w:rsidRPr="00D67312">
        <w:rPr>
          <w:rFonts w:ascii="Times New Roman" w:eastAsia="Calibri" w:hAnsi="Times New Roman" w:cs="Times New Roman"/>
          <w:sz w:val="28"/>
          <w:szCs w:val="28"/>
        </w:rPr>
        <w:t>средств</w:t>
      </w:r>
      <w:r w:rsidR="00727295">
        <w:rPr>
          <w:rFonts w:ascii="Times New Roman" w:eastAsia="Calibri" w:hAnsi="Times New Roman" w:cs="Times New Roman"/>
          <w:sz w:val="28"/>
          <w:szCs w:val="28"/>
        </w:rPr>
        <w:t>о</w:t>
      </w:r>
      <w:r w:rsidR="00727295" w:rsidRPr="00D67312">
        <w:rPr>
          <w:rFonts w:ascii="Times New Roman" w:eastAsia="Calibri" w:hAnsi="Times New Roman" w:cs="Times New Roman"/>
          <w:sz w:val="28"/>
          <w:szCs w:val="28"/>
        </w:rPr>
        <w:t xml:space="preserve"> индивидуализации</w:t>
      </w:r>
      <w:r w:rsidR="00727295">
        <w:rPr>
          <w:rFonts w:ascii="Times New Roman" w:eastAsia="Calibri" w:hAnsi="Times New Roman" w:cs="Times New Roman"/>
          <w:sz w:val="28"/>
          <w:szCs w:val="28"/>
        </w:rPr>
        <w:t xml:space="preserve">, право </w:t>
      </w:r>
      <w:r w:rsidR="00727295">
        <w:rPr>
          <w:rFonts w:ascii="Times New Roman" w:eastAsia="Calibri" w:hAnsi="Times New Roman" w:cs="Times New Roman"/>
          <w:sz w:val="28"/>
          <w:szCs w:val="28"/>
        </w:rPr>
        <w:lastRenderedPageBreak/>
        <w:t>использования которых предоставляется по договору</w:t>
      </w:r>
      <w:r w:rsidRPr="00D67312">
        <w:rPr>
          <w:rFonts w:ascii="Times New Roman" w:eastAsia="Calibri" w:hAnsi="Times New Roman" w:cs="Times New Roman"/>
          <w:sz w:val="28"/>
          <w:szCs w:val="28"/>
        </w:rPr>
        <w:t>.</w:t>
      </w:r>
      <w:r w:rsidR="00727295">
        <w:rPr>
          <w:rFonts w:ascii="Times New Roman" w:eastAsia="Calibri" w:hAnsi="Times New Roman" w:cs="Times New Roman"/>
          <w:sz w:val="28"/>
          <w:szCs w:val="28"/>
        </w:rPr>
        <w:t xml:space="preserve"> </w:t>
      </w:r>
      <w:r w:rsidRPr="00D67312">
        <w:rPr>
          <w:rFonts w:ascii="Times New Roman" w:eastAsia="Calibri" w:hAnsi="Times New Roman" w:cs="Times New Roman"/>
          <w:sz w:val="28"/>
          <w:szCs w:val="28"/>
        </w:rPr>
        <w:t xml:space="preserve">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 </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Факторами при анализе данных сделок являются:</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целесообразности заключения лицензионного договора по использованию объекта интеллектуальной собственности;</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соответствие полезного эффекта от их использования </w:t>
      </w:r>
      <w:r w:rsidR="00EB5D7C">
        <w:rPr>
          <w:rFonts w:ascii="Times New Roman" w:eastAsia="Calibri" w:hAnsi="Times New Roman" w:cs="Times New Roman"/>
          <w:sz w:val="28"/>
          <w:szCs w:val="28"/>
        </w:rPr>
        <w:t>размеру вознаграждения, выплачиваемому по лицензионному договору</w:t>
      </w:r>
      <w:r w:rsidRPr="00D67312">
        <w:rPr>
          <w:rFonts w:ascii="Times New Roman" w:eastAsia="Calibri" w:hAnsi="Times New Roman" w:cs="Times New Roman"/>
          <w:sz w:val="28"/>
          <w:szCs w:val="28"/>
        </w:rPr>
        <w:t xml:space="preserve">.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Классификация объектов интеллектуальной собственности, дающее право использовать организацией, в целях определения рыночн</w:t>
      </w:r>
      <w:r w:rsidR="00DE005A">
        <w:rPr>
          <w:rFonts w:ascii="Times New Roman" w:eastAsia="Calibri" w:hAnsi="Times New Roman" w:cs="Times New Roman"/>
          <w:sz w:val="28"/>
          <w:szCs w:val="28"/>
        </w:rPr>
        <w:t>ых предложений по размеру вознаграждения,</w:t>
      </w:r>
      <w:r w:rsidRPr="00D67312">
        <w:rPr>
          <w:rFonts w:ascii="Times New Roman" w:eastAsia="Calibri" w:hAnsi="Times New Roman" w:cs="Times New Roman"/>
          <w:sz w:val="28"/>
          <w:szCs w:val="28"/>
        </w:rPr>
        <w:t xml:space="preserve"> аналогичных объектов (при их наличии).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мониторинга и профилактики коррупционных рисков в данной области </w:t>
      </w:r>
      <w:r w:rsidR="00EB5D7C">
        <w:rPr>
          <w:rFonts w:ascii="Times New Roman" w:eastAsia="Calibri" w:hAnsi="Times New Roman" w:cs="Times New Roman"/>
          <w:sz w:val="28"/>
          <w:szCs w:val="28"/>
        </w:rPr>
        <w:t>право</w:t>
      </w:r>
      <w:r w:rsidRPr="00D67312">
        <w:rPr>
          <w:rFonts w:ascii="Times New Roman" w:eastAsia="Calibri" w:hAnsi="Times New Roman" w:cs="Times New Roman"/>
          <w:sz w:val="28"/>
          <w:szCs w:val="28"/>
        </w:rPr>
        <w:t>отношений необходимо осуществить комплекс мероприятий, в том числе: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коррупционной составляющей сделок по распоряжению исключительным правом при передаче </w:t>
      </w:r>
      <w:r w:rsidR="00EB5D7C">
        <w:rPr>
          <w:rFonts w:ascii="Times New Roman" w:eastAsia="Calibri" w:hAnsi="Times New Roman" w:cs="Times New Roman"/>
          <w:sz w:val="28"/>
          <w:szCs w:val="28"/>
        </w:rPr>
        <w:t xml:space="preserve">результатов </w:t>
      </w:r>
      <w:r w:rsidRPr="00D67312">
        <w:rPr>
          <w:rFonts w:ascii="Times New Roman" w:eastAsia="Calibri" w:hAnsi="Times New Roman" w:cs="Times New Roman"/>
          <w:sz w:val="28"/>
          <w:szCs w:val="28"/>
        </w:rPr>
        <w:t xml:space="preserve">интеллектуальной деятельности или средств индивидуализации, которая заключается в установлении </w:t>
      </w:r>
      <w:r w:rsidR="00EB5D7C">
        <w:rPr>
          <w:rFonts w:ascii="Times New Roman" w:eastAsia="Calibri" w:hAnsi="Times New Roman" w:cs="Times New Roman"/>
          <w:sz w:val="28"/>
          <w:szCs w:val="28"/>
        </w:rPr>
        <w:t>лицензиаром</w:t>
      </w:r>
      <w:r w:rsidRPr="00D67312">
        <w:rPr>
          <w:rFonts w:ascii="Times New Roman" w:eastAsia="Calibri" w:hAnsi="Times New Roman" w:cs="Times New Roman"/>
          <w:sz w:val="28"/>
          <w:szCs w:val="28"/>
        </w:rPr>
        <w:t xml:space="preserve"> льготных условий и </w:t>
      </w:r>
      <w:r w:rsidR="00EB5D7C">
        <w:rPr>
          <w:rFonts w:ascii="Times New Roman" w:eastAsia="Calibri" w:hAnsi="Times New Roman" w:cs="Times New Roman"/>
          <w:sz w:val="28"/>
          <w:szCs w:val="28"/>
        </w:rPr>
        <w:t>размера лицензионных платежей</w:t>
      </w:r>
      <w:r w:rsidRPr="00D67312">
        <w:rPr>
          <w:rFonts w:ascii="Times New Roman" w:eastAsia="Calibri" w:hAnsi="Times New Roman" w:cs="Times New Roman"/>
          <w:sz w:val="28"/>
          <w:szCs w:val="28"/>
        </w:rPr>
        <w:t>, несоизмерим</w:t>
      </w:r>
      <w:r w:rsidR="00DF55B1">
        <w:rPr>
          <w:rFonts w:ascii="Times New Roman" w:eastAsia="Calibri" w:hAnsi="Times New Roman" w:cs="Times New Roman"/>
          <w:sz w:val="28"/>
          <w:szCs w:val="28"/>
        </w:rPr>
        <w:t>ых</w:t>
      </w:r>
      <w:r w:rsidRPr="00D67312">
        <w:rPr>
          <w:rFonts w:ascii="Times New Roman" w:eastAsia="Calibri" w:hAnsi="Times New Roman" w:cs="Times New Roman"/>
          <w:sz w:val="28"/>
          <w:szCs w:val="28"/>
        </w:rPr>
        <w:t xml:space="preserve"> с размером полезного эффекта, который можно получить от </w:t>
      </w:r>
      <w:r w:rsidR="00DF55B1">
        <w:rPr>
          <w:rFonts w:ascii="Times New Roman" w:eastAsia="Calibri" w:hAnsi="Times New Roman" w:cs="Times New Roman"/>
          <w:sz w:val="28"/>
          <w:szCs w:val="28"/>
        </w:rPr>
        <w:t xml:space="preserve">использования </w:t>
      </w:r>
      <w:r w:rsidRPr="00D67312">
        <w:rPr>
          <w:rFonts w:ascii="Times New Roman" w:eastAsia="Calibri" w:hAnsi="Times New Roman" w:cs="Times New Roman"/>
          <w:sz w:val="28"/>
          <w:szCs w:val="28"/>
        </w:rPr>
        <w:t>объекта</w:t>
      </w:r>
      <w:r w:rsidR="00DF55B1">
        <w:rPr>
          <w:rFonts w:ascii="Times New Roman" w:eastAsia="Calibri" w:hAnsi="Times New Roman" w:cs="Times New Roman"/>
          <w:sz w:val="28"/>
          <w:szCs w:val="28"/>
        </w:rPr>
        <w:t xml:space="preserve"> интеллектуальной собственности</w:t>
      </w:r>
      <w:r w:rsidRPr="00D67312">
        <w:rPr>
          <w:rFonts w:ascii="Times New Roman" w:eastAsia="Calibri" w:hAnsi="Times New Roman" w:cs="Times New Roman"/>
          <w:sz w:val="28"/>
          <w:szCs w:val="28"/>
        </w:rPr>
        <w:t xml:space="preserve">, с целью получения незаконного вознаграждения от </w:t>
      </w:r>
      <w:r w:rsidR="00DF55B1">
        <w:rPr>
          <w:rFonts w:ascii="Times New Roman" w:eastAsia="Calibri" w:hAnsi="Times New Roman" w:cs="Times New Roman"/>
          <w:sz w:val="28"/>
          <w:szCs w:val="28"/>
        </w:rPr>
        <w:t>лицензиата</w:t>
      </w:r>
      <w:r w:rsidRPr="00D67312">
        <w:rPr>
          <w:rFonts w:ascii="Times New Roman" w:eastAsia="Calibri" w:hAnsi="Times New Roman" w:cs="Times New Roman"/>
          <w:sz w:val="28"/>
          <w:szCs w:val="28"/>
        </w:rPr>
        <w:t xml:space="preserve">.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коррупционной составляющей при получении </w:t>
      </w:r>
      <w:r w:rsidR="00DF55B1">
        <w:rPr>
          <w:rFonts w:ascii="Times New Roman" w:eastAsia="Calibri" w:hAnsi="Times New Roman" w:cs="Times New Roman"/>
          <w:sz w:val="28"/>
          <w:szCs w:val="28"/>
        </w:rPr>
        <w:t xml:space="preserve">прав на использование </w:t>
      </w:r>
      <w:r w:rsidRPr="00D67312">
        <w:rPr>
          <w:rFonts w:ascii="Times New Roman" w:eastAsia="Calibri" w:hAnsi="Times New Roman" w:cs="Times New Roman"/>
          <w:sz w:val="28"/>
          <w:szCs w:val="28"/>
        </w:rPr>
        <w:t>объект</w:t>
      </w:r>
      <w:r w:rsidR="00DF55B1">
        <w:rPr>
          <w:rFonts w:ascii="Times New Roman" w:eastAsia="Calibri" w:hAnsi="Times New Roman" w:cs="Times New Roman"/>
          <w:sz w:val="28"/>
          <w:szCs w:val="28"/>
        </w:rPr>
        <w:t>ов</w:t>
      </w:r>
      <w:r w:rsidRPr="00D67312">
        <w:rPr>
          <w:rFonts w:ascii="Times New Roman" w:eastAsia="Calibri" w:hAnsi="Times New Roman" w:cs="Times New Roman"/>
          <w:sz w:val="28"/>
          <w:szCs w:val="28"/>
        </w:rPr>
        <w:t xml:space="preserve"> интеллектуальной собственности, которая заключается в установлении </w:t>
      </w:r>
      <w:r w:rsidR="00DF55B1">
        <w:rPr>
          <w:rFonts w:ascii="Times New Roman" w:eastAsia="Calibri" w:hAnsi="Times New Roman" w:cs="Times New Roman"/>
          <w:sz w:val="28"/>
          <w:szCs w:val="28"/>
        </w:rPr>
        <w:t>лицензиаро</w:t>
      </w:r>
      <w:r w:rsidRPr="00D67312">
        <w:rPr>
          <w:rFonts w:ascii="Times New Roman" w:eastAsia="Calibri" w:hAnsi="Times New Roman" w:cs="Times New Roman"/>
          <w:sz w:val="28"/>
          <w:szCs w:val="28"/>
        </w:rPr>
        <w:t xml:space="preserve">м жестких условий и </w:t>
      </w:r>
      <w:r w:rsidR="00DF55B1">
        <w:rPr>
          <w:rFonts w:ascii="Times New Roman" w:eastAsia="Calibri" w:hAnsi="Times New Roman" w:cs="Times New Roman"/>
          <w:sz w:val="28"/>
          <w:szCs w:val="28"/>
        </w:rPr>
        <w:t>размера лицензионных платежей</w:t>
      </w:r>
      <w:r w:rsidRPr="00D67312">
        <w:rPr>
          <w:rFonts w:ascii="Times New Roman" w:eastAsia="Calibri" w:hAnsi="Times New Roman" w:cs="Times New Roman"/>
          <w:sz w:val="28"/>
          <w:szCs w:val="28"/>
        </w:rPr>
        <w:t xml:space="preserve">, </w:t>
      </w:r>
      <w:r w:rsidRPr="00D67312">
        <w:rPr>
          <w:rFonts w:ascii="Times New Roman" w:eastAsia="Calibri" w:hAnsi="Times New Roman" w:cs="Times New Roman"/>
          <w:sz w:val="28"/>
          <w:szCs w:val="28"/>
        </w:rPr>
        <w:lastRenderedPageBreak/>
        <w:t>несоизмерим</w:t>
      </w:r>
      <w:r w:rsidR="00DF55B1">
        <w:rPr>
          <w:rFonts w:ascii="Times New Roman" w:eastAsia="Calibri" w:hAnsi="Times New Roman" w:cs="Times New Roman"/>
          <w:sz w:val="28"/>
          <w:szCs w:val="28"/>
        </w:rPr>
        <w:t>ых</w:t>
      </w:r>
      <w:r w:rsidRPr="00D67312">
        <w:rPr>
          <w:rFonts w:ascii="Times New Roman" w:eastAsia="Calibri" w:hAnsi="Times New Roman" w:cs="Times New Roman"/>
          <w:sz w:val="28"/>
          <w:szCs w:val="28"/>
        </w:rPr>
        <w:t xml:space="preserve"> с практической ценностью объекта</w:t>
      </w:r>
      <w:r w:rsidR="00DF55B1">
        <w:rPr>
          <w:rFonts w:ascii="Times New Roman" w:eastAsia="Calibri" w:hAnsi="Times New Roman" w:cs="Times New Roman"/>
          <w:sz w:val="28"/>
          <w:szCs w:val="28"/>
        </w:rPr>
        <w:t xml:space="preserve"> интеллектуальной собственности</w:t>
      </w:r>
      <w:r w:rsidRPr="00D67312">
        <w:rPr>
          <w:rFonts w:ascii="Times New Roman" w:eastAsia="Calibri" w:hAnsi="Times New Roman" w:cs="Times New Roman"/>
          <w:sz w:val="28"/>
          <w:szCs w:val="28"/>
        </w:rPr>
        <w:t xml:space="preserve">, с целью получения незаконного вознаграждения </w:t>
      </w:r>
      <w:r w:rsidR="00DF55B1">
        <w:rPr>
          <w:rFonts w:ascii="Times New Roman" w:eastAsia="Calibri" w:hAnsi="Times New Roman" w:cs="Times New Roman"/>
          <w:sz w:val="28"/>
          <w:szCs w:val="28"/>
        </w:rPr>
        <w:t>одной из сторон по договору</w:t>
      </w:r>
      <w:r w:rsidRPr="00D67312">
        <w:rPr>
          <w:rFonts w:ascii="Times New Roman" w:eastAsia="Calibri" w:hAnsi="Times New Roman" w:cs="Times New Roman"/>
          <w:sz w:val="28"/>
          <w:szCs w:val="28"/>
        </w:rPr>
        <w:t>.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рыночным условиям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Cao</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коэффициент соответствия </w:t>
      </w:r>
      <w:r w:rsidR="00DF55B1">
        <w:rPr>
          <w:rFonts w:ascii="Times New Roman" w:eastAsia="Calibri" w:hAnsi="Times New Roman" w:cs="Times New Roman"/>
          <w:sz w:val="28"/>
          <w:szCs w:val="28"/>
        </w:rPr>
        <w:t>размера вознаграждения</w:t>
      </w:r>
      <w:r w:rsidRPr="00D67312">
        <w:rPr>
          <w:rFonts w:ascii="Times New Roman" w:eastAsia="Calibri" w:hAnsi="Times New Roman" w:cs="Times New Roman"/>
          <w:sz w:val="28"/>
          <w:szCs w:val="28"/>
        </w:rPr>
        <w:t xml:space="preserve">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Cao</w:t>
      </w:r>
      <w:proofErr w:type="spellEnd"/>
      <w:r w:rsidRPr="00D67312">
        <w:rPr>
          <w:rFonts w:ascii="Times New Roman" w:eastAsia="Calibri" w:hAnsi="Times New Roman" w:cs="Times New Roman"/>
          <w:sz w:val="28"/>
          <w:szCs w:val="28"/>
        </w:rPr>
        <w:t xml:space="preserve"> – </w:t>
      </w:r>
      <w:r w:rsidR="00CA5708">
        <w:rPr>
          <w:rFonts w:ascii="Times New Roman" w:eastAsia="Calibri" w:hAnsi="Times New Roman" w:cs="Times New Roman"/>
          <w:sz w:val="28"/>
          <w:szCs w:val="28"/>
        </w:rPr>
        <w:t>размер вознаграждений</w:t>
      </w:r>
      <w:r w:rsidRPr="00D67312">
        <w:rPr>
          <w:rFonts w:ascii="Times New Roman" w:eastAsia="Calibri" w:hAnsi="Times New Roman" w:cs="Times New Roman"/>
          <w:sz w:val="28"/>
          <w:szCs w:val="28"/>
        </w:rPr>
        <w:t xml:space="preserve"> по анализируемой сделке, руб./мес. (руб./год);</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Ca1, Ca2, Ca3 – рыночные предложения по </w:t>
      </w:r>
      <w:r w:rsidR="00CA5708">
        <w:rPr>
          <w:rFonts w:ascii="Times New Roman" w:eastAsia="Calibri" w:hAnsi="Times New Roman" w:cs="Times New Roman"/>
          <w:sz w:val="28"/>
          <w:szCs w:val="28"/>
        </w:rPr>
        <w:t>размеру вознаграждений  п</w:t>
      </w:r>
      <w:r w:rsidRPr="00D67312">
        <w:rPr>
          <w:rFonts w:ascii="Times New Roman" w:eastAsia="Calibri" w:hAnsi="Times New Roman" w:cs="Times New Roman"/>
          <w:sz w:val="28"/>
          <w:szCs w:val="28"/>
        </w:rPr>
        <w:t>о максимально схожим объектам интеллектуальной собственности, руб./мес. (руб./год).</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w:t>
      </w:r>
      <w:r w:rsidR="00CA5708">
        <w:rPr>
          <w:rFonts w:ascii="Times New Roman" w:eastAsia="Calibri" w:hAnsi="Times New Roman" w:cs="Times New Roman"/>
          <w:sz w:val="28"/>
          <w:szCs w:val="28"/>
        </w:rPr>
        <w:t xml:space="preserve">передаче прав на использование </w:t>
      </w:r>
      <w:r w:rsidRPr="00D67312">
        <w:rPr>
          <w:rFonts w:ascii="Times New Roman" w:eastAsia="Calibri" w:hAnsi="Times New Roman" w:cs="Times New Roman"/>
          <w:sz w:val="28"/>
          <w:szCs w:val="28"/>
        </w:rPr>
        <w:t xml:space="preserve">объектов интеллектуальной собственности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 ≥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1,1.</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w:t>
      </w:r>
      <w:r w:rsidR="00CA5708">
        <w:rPr>
          <w:rFonts w:ascii="Times New Roman" w:eastAsia="Calibri" w:hAnsi="Times New Roman" w:cs="Times New Roman"/>
          <w:sz w:val="28"/>
          <w:szCs w:val="28"/>
        </w:rPr>
        <w:t>размера вознаграждения</w:t>
      </w:r>
      <w:r w:rsidRPr="00D67312">
        <w:rPr>
          <w:rFonts w:ascii="Times New Roman" w:eastAsia="Calibri" w:hAnsi="Times New Roman" w:cs="Times New Roman"/>
          <w:sz w:val="28"/>
          <w:szCs w:val="28"/>
        </w:rPr>
        <w:t xml:space="preserve"> от рыночных условий.</w:t>
      </w:r>
      <w:bookmarkStart w:id="9" w:name="_Toc445807507"/>
    </w:p>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D67312" w:rsidRPr="00D67312" w:rsidRDefault="00D67312" w:rsidP="00D67312">
      <w:pPr>
        <w:spacing w:after="0"/>
        <w:ind w:firstLine="709"/>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и мониторинг коррупционных рисков, возникающих в сфере управления персоналом</w:t>
      </w:r>
      <w:bookmarkEnd w:id="9"/>
    </w:p>
    <w:p w:rsidR="00D67312" w:rsidRPr="00D67312" w:rsidRDefault="00D67312" w:rsidP="00D67312">
      <w:pPr>
        <w:keepNext/>
        <w:keepLines/>
        <w:spacing w:before="240" w:after="240"/>
        <w:ind w:left="1134"/>
        <w:jc w:val="both"/>
        <w:outlineLvl w:val="1"/>
        <w:rPr>
          <w:rFonts w:ascii="Times New Roman" w:eastAsia="Times New Roman" w:hAnsi="Times New Roman" w:cs="Times New Roman"/>
          <w:sz w:val="28"/>
          <w:szCs w:val="28"/>
        </w:rPr>
      </w:pPr>
      <w:bookmarkStart w:id="10" w:name="_Toc445807508"/>
      <w:r w:rsidRPr="00D67312">
        <w:rPr>
          <w:rFonts w:ascii="Times New Roman" w:eastAsia="Times New Roman" w:hAnsi="Times New Roman" w:cs="Times New Roman"/>
          <w:sz w:val="28"/>
          <w:szCs w:val="28"/>
        </w:rPr>
        <w:t>Сферы управления персоналом, содержащие коррупционные риски</w:t>
      </w:r>
      <w:bookmarkEnd w:id="10"/>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Коррупционные риски, возникающие в сфере управления персоналом, распространяются на всех Работников организации вне зависимости от занимаемой должности и юридического характера правоотношений с организацией. При этом организация выступает в качестве работодателя.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Коррупционные риски, связанные с наличием в организации работников, оформленных в соответствии с требованиями трудового законодательства, </w:t>
      </w:r>
      <w:r w:rsidRPr="00D67312">
        <w:rPr>
          <w:rFonts w:ascii="Times New Roman" w:eastAsia="Calibri" w:hAnsi="Times New Roman" w:cs="Times New Roman"/>
          <w:sz w:val="28"/>
          <w:szCs w:val="28"/>
        </w:rPr>
        <w:lastRenderedPageBreak/>
        <w:t xml:space="preserve">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минимизации данного вида коррупционного риска необходимо:</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в организации в рабочее время, например, табель учета рабочего времени, информация системы электронных пропусков;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провести личную беседу с Работником на предмет выполнения им должностных обязанностей в соответствии с должностной инструкцией (договором).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наем новых работников по трудовому договору и сотрудников на условиях внешнего совместительства или по гражданско-правовому договору;</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повышение по службе путем назначения на руководящие должности.</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1" w:name="_Toc445807509"/>
      <w:r w:rsidRPr="00D67312">
        <w:rPr>
          <w:rFonts w:ascii="Times New Roman" w:eastAsia="Times New Roman" w:hAnsi="Times New Roman" w:cs="Times New Roman"/>
          <w:sz w:val="28"/>
          <w:szCs w:val="28"/>
        </w:rPr>
        <w:lastRenderedPageBreak/>
        <w:t>Коррупционные риски, 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bookmarkEnd w:id="11"/>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осуществлении профилактики данных коррупционных рисков и их мониторинге необходимо осуществить комплекс мероприятий, в том числе: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организации.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Установить круг аффилированных лиц</w:t>
      </w:r>
      <w:r w:rsidRPr="00D67312">
        <w:rPr>
          <w:rFonts w:ascii="Times New Roman" w:eastAsia="Calibri" w:hAnsi="Times New Roman" w:cs="Times New Roman"/>
          <w:sz w:val="28"/>
          <w:szCs w:val="28"/>
          <w:vertAlign w:val="superscript"/>
        </w:rPr>
        <w:footnoteReference w:id="1"/>
      </w:r>
      <w:r w:rsidRPr="00D67312">
        <w:rPr>
          <w:rFonts w:ascii="Times New Roman" w:eastAsia="Calibri" w:hAnsi="Times New Roman" w:cs="Times New Roman"/>
          <w:sz w:val="28"/>
          <w:szCs w:val="28"/>
        </w:rPr>
        <w:t xml:space="preserve">, связанных с претендентом на вакантную должность, с целью предупреждения возможного возникновения </w:t>
      </w:r>
      <w:r w:rsidRPr="00D67312">
        <w:rPr>
          <w:rFonts w:ascii="Times New Roman" w:eastAsia="Calibri" w:hAnsi="Times New Roman" w:cs="Times New Roman"/>
          <w:sz w:val="28"/>
          <w:szCs w:val="28"/>
        </w:rPr>
        <w:lastRenderedPageBreak/>
        <w:t xml:space="preserve">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организацию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 </w:t>
      </w:r>
    </w:p>
    <w:p w:rsidR="00D67312" w:rsidRPr="00D67312" w:rsidRDefault="00D67312" w:rsidP="00D67312">
      <w:pPr>
        <w:keepLines/>
        <w:tabs>
          <w:tab w:val="left" w:pos="1560"/>
        </w:tab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организации, в том числе в целях удовлетворения заинтересованности третьих лиц, через фиктивные трудовые соглашения.</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2" w:name="_Toc445807510"/>
      <w:r w:rsidRPr="00D67312">
        <w:rPr>
          <w:rFonts w:ascii="Times New Roman" w:eastAsia="Times New Roman" w:hAnsi="Times New Roman" w:cs="Times New Roman"/>
          <w:sz w:val="28"/>
          <w:szCs w:val="28"/>
        </w:rPr>
        <w:t>Коррупционные риски, связанные с повышением по службе путем назначения на руководящие должности</w:t>
      </w:r>
      <w:bookmarkEnd w:id="12"/>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профилактики коррупционных рисков, связанных с повышением по службе путем назначения на руководящие должности необходимо:</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w:t>
      </w:r>
      <w:r w:rsidRPr="00D67312">
        <w:rPr>
          <w:rFonts w:ascii="Times New Roman" w:eastAsia="Calibri" w:hAnsi="Times New Roman" w:cs="Times New Roman"/>
          <w:sz w:val="28"/>
          <w:szCs w:val="28"/>
        </w:rPr>
        <w:lastRenderedPageBreak/>
        <w:t>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принятии решения о повышении в должности.</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организации, при наличии кандидатов, обладающих большей компетенцией и опытом работы.</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в организации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bookmarkStart w:id="13" w:name="_Toc445807511"/>
    </w:p>
    <w:p w:rsidR="00D67312" w:rsidRPr="00D67312" w:rsidRDefault="00D67312" w:rsidP="00D67312">
      <w:pPr>
        <w:keepNext/>
        <w:spacing w:after="0" w:line="360" w:lineRule="auto"/>
        <w:ind w:firstLine="709"/>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bookmarkEnd w:id="13"/>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4" w:name="_Toc445807512"/>
      <w:r w:rsidRPr="00D67312">
        <w:rPr>
          <w:rFonts w:ascii="Times New Roman" w:eastAsia="Times New Roman" w:hAnsi="Times New Roman" w:cs="Times New Roman"/>
          <w:sz w:val="28"/>
          <w:szCs w:val="28"/>
        </w:rPr>
        <w:t>Виды финансовых операций и финансовых инструментов, являющихся источниками коррупционных рисков</w:t>
      </w:r>
      <w:bookmarkEnd w:id="14"/>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xml:space="preserve">Источниками коррупционных рисков при осуществлении финансовых операций являются: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выбор учреждения банка для размещения денежных средств и для осуществления других банковских операций;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объекта, инструмента инвестирования и осуществление других финансовых операций.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организация выступает в роли инвестора (размещает финансовые средства) или заемщика: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кредитной организации для осуществления банковских операций;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инструментов инвестирования в кредитные организации;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объекта инвестирования (за исключением кредитных организаций);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инструментов инвестирования в другие объекты (за исключением кредитных организаций);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страховой компании;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условий страхования;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заключение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доходность (тариф);</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сроки инвестирования (период действия договора);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объем инвестиций (сумма договора);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ликвидность инвестиций (с учетом эмитента, сроков, суммы и доходности).</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15" w:name="_Toc445807513"/>
      <w:r w:rsidRPr="00D67312">
        <w:rPr>
          <w:rFonts w:ascii="Times New Roman" w:eastAsia="Times New Roman" w:hAnsi="Times New Roman" w:cs="Times New Roman"/>
          <w:sz w:val="28"/>
          <w:szCs w:val="28"/>
        </w:rPr>
        <w:lastRenderedPageBreak/>
        <w:t>Коррупционные риски, связанные с открытием и ведением счетов в банках</w:t>
      </w:r>
      <w:bookmarkEnd w:id="15"/>
    </w:p>
    <w:p w:rsidR="00D67312" w:rsidRPr="00D67312" w:rsidRDefault="00D67312" w:rsidP="00D67312">
      <w:pPr>
        <w:keepNext/>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D67312" w:rsidRPr="00D67312" w:rsidRDefault="00D67312" w:rsidP="00D67312">
      <w:pPr>
        <w:keepNext/>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Определить надежность и финансовую устойчивость кредитной организации.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этом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 активов.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 213-ФЗ, является рискованным и может свидетельствовать о наличии коррупционной составляющей.</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подлежащие обязательному контролю:</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Размещение денежных средств организации на открытых в банке расчетных, депозитных счетах и покрытых (депонированных) аккредитивах.</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w:t>
      </w:r>
      <w:r w:rsidRPr="00D67312">
        <w:rPr>
          <w:rFonts w:ascii="Times New Roman" w:eastAsia="Calibri" w:hAnsi="Times New Roman" w:cs="Times New Roman"/>
          <w:sz w:val="28"/>
          <w:szCs w:val="28"/>
        </w:rPr>
        <w:lastRenderedPageBreak/>
        <w:t xml:space="preserve">внимание на тарифы кредитной организации по расчетно-кассовому обслуживанию и их соответствие конкурентным предложениям на банковском рынке.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rsidR="00D67312" w:rsidRPr="00D67312" w:rsidRDefault="00D67312" w:rsidP="00D67312">
      <w:pPr>
        <w:keepNext/>
        <w:keepLines/>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д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Д1+Д2+Д3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Дa</m:t>
            </m:r>
          </m:den>
        </m:f>
      </m:oMath>
      <w:r w:rsidRPr="00D67312">
        <w:rPr>
          <w:rFonts w:ascii="Times New Roman" w:eastAsia="Calibri" w:hAnsi="Times New Roman" w:cs="Times New Roman"/>
          <w:sz w:val="28"/>
          <w:szCs w:val="28"/>
        </w:rPr>
        <w:t>, где:</w:t>
      </w:r>
    </w:p>
    <w:p w:rsidR="00D67312" w:rsidRPr="00D67312" w:rsidRDefault="00D67312" w:rsidP="00D67312">
      <w:pPr>
        <w:keepNext/>
        <w:keepLines/>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коэффициент соответствия доходности рыночным условиям;</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Да – доходность (стоимость) по анализируемой сделке, % (руб.);</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Д1, Д2, Д3 – рыночные предложения по доходности (стоимости) аналогичных инструментов в других кредитных организациях в соответствующем регионе, %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доходности инструмента от рыночных условий;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покупка акций банков. Главным критерием наличия коррупционной составляющей является превышение стоимости покупки акций над их рыночной </w:t>
      </w:r>
      <w:r w:rsidRPr="00D67312">
        <w:rPr>
          <w:rFonts w:ascii="Times New Roman" w:eastAsia="Calibri" w:hAnsi="Times New Roman" w:cs="Times New Roman"/>
          <w:sz w:val="28"/>
          <w:szCs w:val="28"/>
        </w:rPr>
        <w:lastRenderedPageBreak/>
        <w:t xml:space="preserve">котировкой на дату совершения сделки. Приобретение </w:t>
      </w:r>
      <w:proofErr w:type="spellStart"/>
      <w:r w:rsidRPr="00D67312">
        <w:rPr>
          <w:rFonts w:ascii="Times New Roman" w:eastAsia="Calibri" w:hAnsi="Times New Roman" w:cs="Times New Roman"/>
          <w:sz w:val="28"/>
          <w:szCs w:val="28"/>
        </w:rPr>
        <w:t>некотируемых</w:t>
      </w:r>
      <w:proofErr w:type="spellEnd"/>
      <w:r w:rsidRPr="00D67312">
        <w:rPr>
          <w:rFonts w:ascii="Times New Roman" w:eastAsia="Calibri" w:hAnsi="Times New Roman" w:cs="Times New Roman"/>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Расчет соответствия стоимости приобретенных котируемых акций рыночным условиям производится по формуле:</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Со+Сз</m:t>
                </m:r>
              </m:e>
            </m:d>
            <m:r>
              <m:rPr>
                <m:sty m:val="p"/>
              </m:rPr>
              <w:rPr>
                <w:rFonts w:ascii="Cambria Math" w:eastAsia="Calibri" w:hAnsi="Cambria Math" w:cs="Times New Roman"/>
                <w:sz w:val="28"/>
                <w:szCs w:val="28"/>
              </w:rPr>
              <m:t>/2</m:t>
            </m:r>
          </m:num>
          <m:den>
            <m:r>
              <m:rPr>
                <m:sty m:val="p"/>
              </m:rPr>
              <w:rPr>
                <w:rFonts w:ascii="Cambria Math" w:eastAsia="Calibri" w:hAnsi="Cambria Math" w:cs="Times New Roman"/>
                <w:sz w:val="28"/>
                <w:szCs w:val="28"/>
              </w:rPr>
              <m:t>Сд</m:t>
            </m:r>
          </m:den>
        </m:f>
      </m:oMath>
      <w:r w:rsidRPr="00D67312">
        <w:rPr>
          <w:rFonts w:ascii="Times New Roman" w:eastAsia="Times New Roman" w:hAnsi="Times New Roman" w:cs="Times New Roman"/>
          <w:sz w:val="28"/>
          <w:szCs w:val="28"/>
        </w:rPr>
        <w:t xml:space="preserve">, </w:t>
      </w:r>
      <w:r w:rsidRPr="00D67312">
        <w:rPr>
          <w:rFonts w:ascii="Times New Roman" w:eastAsia="Calibri" w:hAnsi="Times New Roman" w:cs="Times New Roman"/>
          <w:sz w:val="28"/>
          <w:szCs w:val="28"/>
        </w:rPr>
        <w:t>где:</w:t>
      </w:r>
    </w:p>
    <w:p w:rsidR="00D67312" w:rsidRPr="00D67312" w:rsidRDefault="00D67312" w:rsidP="00D67312">
      <w:pPr>
        <w:spacing w:before="240" w:after="0" w:line="240" w:lineRule="auto"/>
        <w:ind w:left="-74"/>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коэффициент рыночной стоимости котируемых акций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Со - рыночная стоимость акций на момент открытия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Сз</w:t>
      </w:r>
      <w:proofErr w:type="spellEnd"/>
      <w:r w:rsidRPr="00D67312">
        <w:rPr>
          <w:rFonts w:ascii="Times New Roman" w:eastAsia="Calibri" w:hAnsi="Times New Roman" w:cs="Times New Roman"/>
          <w:sz w:val="28"/>
          <w:szCs w:val="28"/>
        </w:rPr>
        <w:t xml:space="preserve"> - рыночная стоимость акций на момент закрытия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Сд</w:t>
      </w:r>
      <w:proofErr w:type="spellEnd"/>
      <w:r w:rsidRPr="00D67312">
        <w:rPr>
          <w:rFonts w:ascii="Times New Roman" w:eastAsia="Calibri" w:hAnsi="Times New Roman" w:cs="Times New Roman"/>
          <w:sz w:val="28"/>
          <w:szCs w:val="28"/>
        </w:rPr>
        <w:t xml:space="preserve"> - стоимость покупки акций по договору.</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Kcа</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стоимости акций от рыночных котировок на дату заключения сделки. </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6" w:name="_Toc445807514"/>
      <w:r w:rsidRPr="00D67312">
        <w:rPr>
          <w:rFonts w:ascii="Times New Roman" w:eastAsia="Times New Roman" w:hAnsi="Times New Roman" w:cs="Times New Roman"/>
          <w:sz w:val="28"/>
          <w:szCs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bookmarkEnd w:id="16"/>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w:t>
      </w:r>
      <w:proofErr w:type="spellStart"/>
      <w:r w:rsidRPr="00D67312">
        <w:rPr>
          <w:rFonts w:ascii="Times New Roman" w:eastAsia="Calibri" w:hAnsi="Times New Roman" w:cs="Times New Roman"/>
          <w:sz w:val="28"/>
          <w:szCs w:val="28"/>
        </w:rPr>
        <w:t>репутационные</w:t>
      </w:r>
      <w:proofErr w:type="spellEnd"/>
      <w:r w:rsidRPr="00D67312">
        <w:rPr>
          <w:rFonts w:ascii="Times New Roman" w:eastAsia="Calibri" w:hAnsi="Times New Roman" w:cs="Times New Roman"/>
          <w:sz w:val="28"/>
          <w:szCs w:val="28"/>
        </w:rPr>
        <w:t xml:space="preserve">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w:t>
      </w:r>
      <w:r w:rsidRPr="00D67312">
        <w:rPr>
          <w:rFonts w:ascii="Times New Roman" w:eastAsia="Calibri" w:hAnsi="Times New Roman" w:cs="Times New Roman"/>
          <w:sz w:val="28"/>
          <w:szCs w:val="28"/>
        </w:rPr>
        <w:lastRenderedPageBreak/>
        <w:t>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получение займов у юридических и физических лиц на условиях, (например, под высокий процент) не соответствующих интересам </w:t>
      </w:r>
      <w:proofErr w:type="spellStart"/>
      <w:r w:rsidRPr="00D67312">
        <w:rPr>
          <w:rFonts w:ascii="Times New Roman" w:eastAsia="Calibri" w:hAnsi="Times New Roman" w:cs="Times New Roman"/>
          <w:sz w:val="28"/>
          <w:szCs w:val="28"/>
        </w:rPr>
        <w:t>заимополучателя</w:t>
      </w:r>
      <w:proofErr w:type="spellEnd"/>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предоставление займов физическим лицам на условиях, не отвечающих требованиям внутренних документов о поощрении работников организации.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на </w:t>
      </w:r>
      <w:r w:rsidRPr="00D67312">
        <w:rPr>
          <w:rFonts w:ascii="Times New Roman" w:eastAsia="Calibri" w:hAnsi="Times New Roman" w:cs="Times New Roman"/>
          <w:sz w:val="28"/>
          <w:szCs w:val="28"/>
        </w:rPr>
        <w:lastRenderedPageBreak/>
        <w:t>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 анализируемой сделки рыночным условиям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д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Д1+Д2+Д3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Дa</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коэффициент соответствия доходности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Да – доходность (стоимость) по анализируемой сделке, % (руб.);</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Д1, Д2, Д3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доходности инструмента от рыночных условий;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D67312">
        <w:rPr>
          <w:rFonts w:ascii="Times New Roman" w:eastAsia="Calibri" w:hAnsi="Times New Roman" w:cs="Times New Roman"/>
          <w:sz w:val="28"/>
          <w:szCs w:val="28"/>
        </w:rPr>
        <w:t>некотируемых</w:t>
      </w:r>
      <w:proofErr w:type="spellEnd"/>
      <w:r w:rsidRPr="00D67312">
        <w:rPr>
          <w:rFonts w:ascii="Times New Roman" w:eastAsia="Calibri" w:hAnsi="Times New Roman" w:cs="Times New Roman"/>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Расчет соответствия стоимости приобретенных котируемых акций рыночным условиям производится по формуле:</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Со+Сз</m:t>
                </m:r>
              </m:e>
            </m:d>
            <m:r>
              <m:rPr>
                <m:sty m:val="p"/>
              </m:rPr>
              <w:rPr>
                <w:rFonts w:ascii="Cambria Math" w:eastAsia="Calibri" w:hAnsi="Cambria Math" w:cs="Times New Roman"/>
                <w:sz w:val="28"/>
                <w:szCs w:val="28"/>
              </w:rPr>
              <m:t>/2</m:t>
            </m:r>
          </m:num>
          <m:den>
            <m:r>
              <m:rPr>
                <m:sty m:val="p"/>
              </m:rPr>
              <w:rPr>
                <w:rFonts w:ascii="Cambria Math" w:eastAsia="Calibri" w:hAnsi="Cambria Math" w:cs="Times New Roman"/>
                <w:sz w:val="28"/>
                <w:szCs w:val="28"/>
              </w:rPr>
              <m:t>Сд</m:t>
            </m:r>
          </m:den>
        </m:f>
      </m:oMath>
      <w:r w:rsidRPr="00D67312">
        <w:rPr>
          <w:rFonts w:ascii="Times New Roman" w:eastAsia="Times New Roman" w:hAnsi="Times New Roman" w:cs="Times New Roman"/>
          <w:sz w:val="28"/>
          <w:szCs w:val="28"/>
        </w:rPr>
        <w:t xml:space="preserve">, </w:t>
      </w:r>
      <w:r w:rsidRPr="00D67312">
        <w:rPr>
          <w:rFonts w:ascii="Times New Roman" w:eastAsia="Calibri" w:hAnsi="Times New Roman" w:cs="Times New Roman"/>
          <w:sz w:val="28"/>
          <w:szCs w:val="28"/>
        </w:rPr>
        <w:t>где:</w:t>
      </w:r>
    </w:p>
    <w:p w:rsidR="00D67312" w:rsidRPr="00D67312" w:rsidRDefault="00D67312" w:rsidP="00D67312">
      <w:pPr>
        <w:spacing w:before="240" w:after="0" w:line="240" w:lineRule="auto"/>
        <w:ind w:left="-74"/>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коэффициент рыночной стоимости котируемых акций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Со – рыночная стоимость акций на момент открытия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Сз</w:t>
      </w:r>
      <w:proofErr w:type="spellEnd"/>
      <w:r w:rsidRPr="00D67312">
        <w:rPr>
          <w:rFonts w:ascii="Times New Roman" w:eastAsia="Calibri" w:hAnsi="Times New Roman" w:cs="Times New Roman"/>
          <w:sz w:val="28"/>
          <w:szCs w:val="28"/>
        </w:rPr>
        <w:t xml:space="preserve"> – рыночная стоимость акций на момент закрытия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Сд</w:t>
      </w:r>
      <w:proofErr w:type="spellEnd"/>
      <w:r w:rsidRPr="00D67312">
        <w:rPr>
          <w:rFonts w:ascii="Times New Roman" w:eastAsia="Calibri" w:hAnsi="Times New Roman" w:cs="Times New Roman"/>
          <w:sz w:val="28"/>
          <w:szCs w:val="28"/>
        </w:rPr>
        <w:t xml:space="preserve"> – стоимость покупки акций по договору.</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0,98 ≥ </w:t>
      </w:r>
      <w:proofErr w:type="spellStart"/>
      <w:r w:rsidRPr="00D67312">
        <w:rPr>
          <w:rFonts w:ascii="Times New Roman" w:eastAsia="Calibri" w:hAnsi="Times New Roman" w:cs="Times New Roman"/>
          <w:sz w:val="28"/>
          <w:szCs w:val="28"/>
        </w:rPr>
        <w:t>Kcа</w:t>
      </w:r>
      <w:proofErr w:type="spellEnd"/>
      <w:r w:rsidRPr="00D67312">
        <w:rPr>
          <w:rFonts w:ascii="Times New Roman" w:eastAsia="Calibri" w:hAnsi="Times New Roman" w:cs="Times New Roman"/>
          <w:sz w:val="28"/>
          <w:szCs w:val="28"/>
        </w:rPr>
        <w:t xml:space="preserve"> ≤ 1,02.</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стоимости акций от рыночных котировок на дату заключения сделки. </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17" w:name="_Toc445807515"/>
      <w:r w:rsidRPr="00D67312">
        <w:rPr>
          <w:rFonts w:ascii="Times New Roman" w:eastAsia="Times New Roman" w:hAnsi="Times New Roman" w:cs="Times New Roman"/>
          <w:sz w:val="28"/>
          <w:szCs w:val="28"/>
        </w:rPr>
        <w:t>Коррупционные риски, связанные с заключением договоров страхования</w:t>
      </w:r>
      <w:bookmarkEnd w:id="17"/>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Агентство «Эксперт РА», является рискованным и может свидетельствовать о наличии коррупционной составляющей.</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Проанализировать условия договора страхования. Главным критерием наличия коррупционной составляющей при заключении договора страхования </w:t>
      </w:r>
      <w:r w:rsidRPr="00D67312">
        <w:rPr>
          <w:rFonts w:ascii="Times New Roman" w:eastAsia="Calibri" w:hAnsi="Times New Roman" w:cs="Times New Roman"/>
          <w:sz w:val="28"/>
          <w:szCs w:val="28"/>
        </w:rPr>
        <w:lastRenderedPageBreak/>
        <w:t xml:space="preserve">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D67312">
        <w:rPr>
          <w:rFonts w:ascii="Times New Roman" w:eastAsia="Calibri" w:hAnsi="Times New Roman" w:cs="Times New Roman"/>
          <w:sz w:val="28"/>
          <w:szCs w:val="28"/>
        </w:rPr>
        <w:t>софинансирования</w:t>
      </w:r>
      <w:proofErr w:type="spellEnd"/>
      <w:r w:rsidRPr="00D67312">
        <w:rPr>
          <w:rFonts w:ascii="Times New Roman" w:eastAsia="Calibri" w:hAnsi="Times New Roman" w:cs="Times New Roman"/>
          <w:sz w:val="28"/>
          <w:szCs w:val="28"/>
        </w:rPr>
        <w:t xml:space="preserve"> услуг по медицинскому страхованию персонала.</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т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Т1+Т2+Т3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Тa</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Kcт</w:t>
      </w:r>
      <w:proofErr w:type="spellEnd"/>
      <w:r w:rsidRPr="00D67312">
        <w:rPr>
          <w:rFonts w:ascii="Times New Roman" w:eastAsia="Calibri" w:hAnsi="Times New Roman" w:cs="Times New Roman"/>
          <w:sz w:val="28"/>
          <w:szCs w:val="28"/>
        </w:rPr>
        <w:t xml:space="preserve"> – коэффициент соответствия установленного страхового тарифа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Та – размер по анализируемому договору, %;</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Т1, Т2, Т3 – рыночные предложения по тарифам на аналогичные страховые услуги в соответствующем регионе, %.</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выборе страховщика может свидетельствовать значение </w:t>
      </w:r>
      <w:proofErr w:type="spellStart"/>
      <w:r w:rsidRPr="00D67312">
        <w:rPr>
          <w:rFonts w:ascii="Times New Roman" w:eastAsia="Calibri" w:hAnsi="Times New Roman" w:cs="Times New Roman"/>
          <w:sz w:val="28"/>
          <w:szCs w:val="28"/>
        </w:rPr>
        <w:t>Kcт</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Kcт</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страхования от рыночных.</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8" w:name="_Toc445807516"/>
      <w:r w:rsidRPr="00D67312">
        <w:rPr>
          <w:rFonts w:ascii="Times New Roman" w:eastAsia="Times New Roman" w:hAnsi="Times New Roman" w:cs="Times New Roman"/>
          <w:sz w:val="28"/>
          <w:szCs w:val="28"/>
        </w:rPr>
        <w:t xml:space="preserve">Коррупционные риски, связанные с заключением лизинговых и </w:t>
      </w:r>
      <w:proofErr w:type="spellStart"/>
      <w:r w:rsidRPr="00D67312">
        <w:rPr>
          <w:rFonts w:ascii="Times New Roman" w:eastAsia="Times New Roman" w:hAnsi="Times New Roman" w:cs="Times New Roman"/>
          <w:sz w:val="28"/>
          <w:szCs w:val="28"/>
        </w:rPr>
        <w:t>факторинговых</w:t>
      </w:r>
      <w:proofErr w:type="spellEnd"/>
      <w:r w:rsidRPr="00D67312">
        <w:rPr>
          <w:rFonts w:ascii="Times New Roman" w:eastAsia="Times New Roman" w:hAnsi="Times New Roman" w:cs="Times New Roman"/>
          <w:sz w:val="28"/>
          <w:szCs w:val="28"/>
        </w:rPr>
        <w:t xml:space="preserve"> сделок</w:t>
      </w:r>
      <w:bookmarkEnd w:id="18"/>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Коррупционный риск, связанный с проведением лизинговых операций, возникает на стадии заключения лизингового договора. При этом организация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Под </w:t>
      </w:r>
      <w:proofErr w:type="spellStart"/>
      <w:r w:rsidRPr="00D67312">
        <w:rPr>
          <w:rFonts w:ascii="Times New Roman" w:eastAsia="Calibri" w:hAnsi="Times New Roman" w:cs="Times New Roman"/>
          <w:sz w:val="28"/>
          <w:szCs w:val="28"/>
        </w:rPr>
        <w:t>факторинговыми</w:t>
      </w:r>
      <w:proofErr w:type="spellEnd"/>
      <w:r w:rsidRPr="00D67312">
        <w:rPr>
          <w:rFonts w:ascii="Times New Roman" w:eastAsia="Calibri" w:hAnsi="Times New Roman" w:cs="Times New Roman"/>
          <w:sz w:val="28"/>
          <w:szCs w:val="28"/>
        </w:rPr>
        <w:t xml:space="preserve"> сделками понимается </w:t>
      </w:r>
      <w:hyperlink r:id="rId9" w:tooltip="Кредит" w:history="1">
        <w:r w:rsidRPr="00D67312">
          <w:rPr>
            <w:rFonts w:ascii="Times New Roman" w:eastAsia="Calibri" w:hAnsi="Times New Roman" w:cs="Times New Roman"/>
            <w:sz w:val="28"/>
            <w:szCs w:val="28"/>
          </w:rPr>
          <w:t>кредитование</w:t>
        </w:r>
      </w:hyperlink>
      <w:r w:rsidRPr="00D67312">
        <w:rPr>
          <w:rFonts w:ascii="Times New Roman" w:eastAsia="Calibri" w:hAnsi="Times New Roman" w:cs="Times New Roman"/>
          <w:sz w:val="28"/>
          <w:szCs w:val="28"/>
        </w:rPr>
        <w:t xml:space="preserve"> поставщиков путём выкупа у поставщика краткосрочной </w:t>
      </w:r>
      <w:hyperlink r:id="rId10" w:tooltip="Дебиторская задолженность" w:history="1">
        <w:r w:rsidRPr="00D67312">
          <w:rPr>
            <w:rFonts w:ascii="Times New Roman" w:eastAsia="Calibri" w:hAnsi="Times New Roman" w:cs="Times New Roman"/>
            <w:sz w:val="28"/>
            <w:szCs w:val="28"/>
          </w:rPr>
          <w:t>задолженности</w:t>
        </w:r>
      </w:hyperlink>
      <w:r w:rsidRPr="00D67312">
        <w:rPr>
          <w:rFonts w:ascii="Times New Roman" w:eastAsia="Calibri" w:hAnsi="Times New Roman" w:cs="Times New Roman"/>
          <w:sz w:val="28"/>
          <w:szCs w:val="28"/>
        </w:rPr>
        <w:t xml:space="preserve"> потребителя перед ним, как правило, не превышающей 180 дней, третьим лицом – фактором (часто банком или специализированной </w:t>
      </w:r>
      <w:proofErr w:type="spellStart"/>
      <w:r w:rsidRPr="00D67312">
        <w:rPr>
          <w:rFonts w:ascii="Times New Roman" w:eastAsia="Calibri" w:hAnsi="Times New Roman" w:cs="Times New Roman"/>
          <w:sz w:val="28"/>
          <w:szCs w:val="28"/>
        </w:rPr>
        <w:t>факторинговой</w:t>
      </w:r>
      <w:proofErr w:type="spellEnd"/>
      <w:r w:rsidRPr="00D67312">
        <w:rPr>
          <w:rFonts w:ascii="Times New Roman" w:eastAsia="Calibri" w:hAnsi="Times New Roman" w:cs="Times New Roman"/>
          <w:sz w:val="28"/>
          <w:szCs w:val="28"/>
        </w:rPr>
        <w:t xml:space="preserve"> компанией). В целях анализа коррупционной составляющей необходимо рассматривать случаи, когда организация в данной сделке выступает в качестве покупателя товаров и услуг.</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сделок такого рода необходимо обратить внимание на целесообразность применения данного инструмента, так как </w:t>
      </w:r>
      <w:proofErr w:type="spellStart"/>
      <w:r w:rsidRPr="00D67312">
        <w:rPr>
          <w:rFonts w:ascii="Times New Roman" w:eastAsia="Calibri" w:hAnsi="Times New Roman" w:cs="Times New Roman"/>
          <w:sz w:val="28"/>
          <w:szCs w:val="28"/>
        </w:rPr>
        <w:t>факторинговая</w:t>
      </w:r>
      <w:proofErr w:type="spellEnd"/>
      <w:r w:rsidRPr="00D67312">
        <w:rPr>
          <w:rFonts w:ascii="Times New Roman" w:eastAsia="Calibri" w:hAnsi="Times New Roman" w:cs="Times New Roman"/>
          <w:sz w:val="28"/>
          <w:szCs w:val="28"/>
        </w:rPr>
        <w:t xml:space="preserve"> сделка подразумевает включение в стоимость товаров и услуг </w:t>
      </w:r>
      <w:hyperlink r:id="rId11" w:tooltip="Процентный доход" w:history="1">
        <w:r w:rsidRPr="00D67312">
          <w:rPr>
            <w:rFonts w:ascii="Times New Roman" w:eastAsia="Calibri" w:hAnsi="Times New Roman" w:cs="Times New Roman"/>
            <w:sz w:val="28"/>
            <w:szCs w:val="28"/>
          </w:rPr>
          <w:t>процент</w:t>
        </w:r>
      </w:hyperlink>
      <w:r w:rsidRPr="00D67312">
        <w:rPr>
          <w:rFonts w:ascii="Times New Roman" w:eastAsia="Calibri" w:hAnsi="Times New Roman" w:cs="Times New Roman"/>
          <w:sz w:val="28"/>
          <w:szCs w:val="28"/>
        </w:rPr>
        <w:t>а за предоставленный кредит и </w:t>
      </w:r>
      <w:hyperlink r:id="rId12" w:tooltip="Комиссионное вознаграждение" w:history="1">
        <w:r w:rsidRPr="00D67312">
          <w:rPr>
            <w:rFonts w:ascii="Times New Roman" w:eastAsia="Calibri" w:hAnsi="Times New Roman" w:cs="Times New Roman"/>
            <w:sz w:val="28"/>
            <w:szCs w:val="28"/>
          </w:rPr>
          <w:t>комиссионные платежи</w:t>
        </w:r>
      </w:hyperlink>
      <w:r w:rsidRPr="00D67312">
        <w:rPr>
          <w:rFonts w:ascii="Times New Roman" w:eastAsia="Calibri" w:hAnsi="Times New Roman" w:cs="Times New Roman"/>
          <w:sz w:val="28"/>
          <w:szCs w:val="28"/>
        </w:rPr>
        <w:t xml:space="preserve"> фактору за оказанные услуги. </w:t>
      </w:r>
      <w:r w:rsidRPr="00D67312">
        <w:rPr>
          <w:rFonts w:ascii="Times New Roman" w:eastAsia="Calibri" w:hAnsi="Times New Roman" w:cs="Times New Roman"/>
          <w:sz w:val="28"/>
          <w:szCs w:val="28"/>
        </w:rPr>
        <w:br/>
      </w:r>
      <w:r w:rsidRPr="00D67312">
        <w:rPr>
          <w:rFonts w:ascii="Times New Roman" w:eastAsia="Calibri" w:hAnsi="Times New Roman" w:cs="Times New Roman"/>
          <w:sz w:val="28"/>
          <w:szCs w:val="28"/>
        </w:rPr>
        <w:lastRenderedPageBreak/>
        <w:t>В связи с этим необходимо проанализировать экономическую эффективность данной сделки с учетом всех издержек.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определения соответствия процентной ставки (стоимости)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операций условиям рынка необходимо применить метод сравнительных оценок исходя из предложений на рынке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услуг (лизинговые компании и кредитные организации). Для анализа предложений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услуг. Для расчета соответствия условий анализируемых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операций рынку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с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С1+С2+С3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Сa</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Kcс</w:t>
      </w:r>
      <w:proofErr w:type="spellEnd"/>
      <w:r w:rsidRPr="00D67312">
        <w:rPr>
          <w:rFonts w:ascii="Times New Roman" w:eastAsia="Calibri" w:hAnsi="Times New Roman" w:cs="Times New Roman"/>
          <w:sz w:val="28"/>
          <w:szCs w:val="28"/>
        </w:rPr>
        <w:t xml:space="preserve"> – коэффициент соответствия ставки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Са</w:t>
      </w:r>
      <w:proofErr w:type="spellEnd"/>
      <w:r w:rsidRPr="00D67312">
        <w:rPr>
          <w:rFonts w:ascii="Times New Roman" w:eastAsia="Calibri" w:hAnsi="Times New Roman" w:cs="Times New Roman"/>
          <w:sz w:val="28"/>
          <w:szCs w:val="28"/>
        </w:rPr>
        <w:t xml:space="preserve"> – ставка (стоимость) по анализируемой сделке, % (руб.);</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С1, С2, С3 – рыночные предложения по ставкам (стоимости) лизинговых/</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операций на рынке банковских услуг (услуг лизинговых компаний) в соответствующем регионе, %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Об отсутствии коррупционной составляющей при заключении лизинговых/</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договоров может свидетельствовать значение </w:t>
      </w:r>
      <w:proofErr w:type="spellStart"/>
      <w:r w:rsidRPr="00D67312">
        <w:rPr>
          <w:rFonts w:ascii="Times New Roman" w:eastAsia="Calibri" w:hAnsi="Times New Roman" w:cs="Times New Roman"/>
          <w:sz w:val="28"/>
          <w:szCs w:val="28"/>
        </w:rPr>
        <w:t>Kcс</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Kcс</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договора от аналогичных предложений </w:t>
      </w:r>
      <w:proofErr w:type="spellStart"/>
      <w:r w:rsidRPr="00D67312">
        <w:rPr>
          <w:rFonts w:ascii="Times New Roman" w:eastAsia="Calibri" w:hAnsi="Times New Roman" w:cs="Times New Roman"/>
          <w:sz w:val="28"/>
          <w:szCs w:val="28"/>
        </w:rPr>
        <w:t>рынка.</w:t>
      </w:r>
      <w:bookmarkStart w:id="19" w:name="_Toc445807517"/>
      <w:r w:rsidRPr="00D67312">
        <w:rPr>
          <w:rFonts w:ascii="Times New Roman" w:eastAsia="Calibri" w:hAnsi="Times New Roman" w:cs="Times New Roman"/>
          <w:sz w:val="28"/>
          <w:szCs w:val="28"/>
        </w:rPr>
        <w:t>Профилактика</w:t>
      </w:r>
      <w:proofErr w:type="spellEnd"/>
      <w:r w:rsidRPr="00D67312">
        <w:rPr>
          <w:rFonts w:ascii="Times New Roman" w:eastAsia="Calibri" w:hAnsi="Times New Roman" w:cs="Times New Roman"/>
          <w:sz w:val="28"/>
          <w:szCs w:val="28"/>
        </w:rPr>
        <w:t xml:space="preserve"> и мониторинг коррупционных рисков, связанных с проведением закупок товаров и услуг организацией</w:t>
      </w:r>
      <w:bookmarkEnd w:id="19"/>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0" w:name="_Toc445807518"/>
      <w:r w:rsidRPr="00D67312">
        <w:rPr>
          <w:rFonts w:ascii="Times New Roman" w:eastAsia="Times New Roman" w:hAnsi="Times New Roman" w:cs="Times New Roman"/>
          <w:sz w:val="28"/>
          <w:szCs w:val="28"/>
        </w:rPr>
        <w:lastRenderedPageBreak/>
        <w:t>Классификация коррупционных рисков, возникающих в сфере закупок</w:t>
      </w:r>
      <w:bookmarkEnd w:id="20"/>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Риски данного вида распространяются на всю закупочную деятельность. При рассмотрении коррупционных рисков в сфере закупок организация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Коррупционные риски, возникающие в сфере закупок классифицируются по нескольким параметрам: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по предмету закупок;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по стадии закупочного цикла.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зависимости от предмета закупок коррупционные риски можно классифицировать на риски, возникающие при осуществлении закупок: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недвижимого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техники, машин и оборудования, а также нематериальных активов (за исключением предметов искусства и роскоши);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сырья и материалов;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услуг.</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1" w:name="_Toc445807519"/>
      <w:r w:rsidRPr="00D67312">
        <w:rPr>
          <w:rFonts w:ascii="Times New Roman" w:eastAsia="Times New Roman" w:hAnsi="Times New Roman" w:cs="Times New Roman"/>
          <w:sz w:val="28"/>
          <w:szCs w:val="28"/>
        </w:rPr>
        <w:t>Коррупционные составляющие в разрезе стадий закупочного цикла</w:t>
      </w:r>
      <w:bookmarkEnd w:id="21"/>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Коррупционным рискам подвержены все стадии закупочного цикла, среди которых можно выделить риски, возникающие на стадии: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исследования предложения на рынке закупаемых товаров и услуг с целью формирования условий, ограничивающих (расширяющих) круг возможных </w:t>
      </w:r>
      <w:r w:rsidRPr="00D67312">
        <w:rPr>
          <w:rFonts w:ascii="Times New Roman" w:eastAsia="Calibri" w:hAnsi="Times New Roman" w:cs="Times New Roman"/>
          <w:sz w:val="28"/>
          <w:szCs w:val="28"/>
        </w:rPr>
        <w:lastRenderedPageBreak/>
        <w:t>поставщиков, перечень удовлетворяющих потребности товаров (услуг), завышающих (занижающих) цену товара (услуги);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рассмотрения заявок, позволяющие воспользоваться возможностями установления дискриминаций (преференций) в отношении отдельных поставщиков;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2" w:name="_Toc445807520"/>
      <w:r w:rsidRPr="00D67312">
        <w:rPr>
          <w:rFonts w:ascii="Times New Roman" w:eastAsia="Times New Roman" w:hAnsi="Times New Roman" w:cs="Times New Roman"/>
          <w:sz w:val="28"/>
          <w:szCs w:val="28"/>
        </w:rPr>
        <w:t>Порядок проведения оценки поставщика (продавца) на предмет наличия коррупционной составляющей</w:t>
      </w:r>
      <w:bookmarkEnd w:id="22"/>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позициям:1. 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 специальные допуски и лицензии) для установления следующих фактов:</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сроков и круга полномочий представителя поставщика (продавца);</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объема крупной сделки для поставщика (продавца);</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закрепленные уставными документами направления деятельности.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организации в заключении сделки с конкретным поставщиком (покупателем), являющимся аффилированным к организации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w:t>
      </w:r>
      <w:proofErr w:type="spellStart"/>
      <w:r w:rsidRPr="00D67312">
        <w:rPr>
          <w:rFonts w:ascii="Times New Roman" w:eastAsia="Calibri" w:hAnsi="Times New Roman" w:cs="Times New Roman"/>
          <w:sz w:val="28"/>
          <w:szCs w:val="28"/>
        </w:rPr>
        <w:t>репутационные</w:t>
      </w:r>
      <w:proofErr w:type="spellEnd"/>
      <w:r w:rsidRPr="00D67312">
        <w:rPr>
          <w:rFonts w:ascii="Times New Roman" w:eastAsia="Calibri" w:hAnsi="Times New Roman" w:cs="Times New Roman"/>
          <w:sz w:val="28"/>
          <w:szCs w:val="28"/>
        </w:rPr>
        <w:t xml:space="preserve"> риски для организации.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журнал «Вестник государственной регистрации» о принятых решениях о предстоящем исключении недействующих юридических лиц из ЕГРЮЛ;</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реестр недобросовестных поставщиков; наличие контрагента в базе юридических лиц, связь с которым по указанному в ЕГРЮЛ адресу отсутствует;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регистрация контрагента по адресу массовой регистрации;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открытие в отношении контрагента процедур ликвидации и банкротства;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реестр лиц, отказавшихся в суде от участия в организации или в отношении которых данный факт установлен (подтвержден) в судебном порядке;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наличие дисквалификации у лиц, входящих в состав исполнительных органов контрагента, и намеревающихся подписать документы по сделке;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сведения о наличии подозрительных признаков («массовый» директор, учредитель или адрес организации);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недействительность паспортных данных руководства контрагента.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5. 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Дополнительно по данным бухгалтерского баланса необходимо оценить финансовую устойчивость поставщика (продавца) путем анализа объема и динамики </w:t>
      </w:r>
      <w:r w:rsidRPr="00D67312">
        <w:rPr>
          <w:rFonts w:ascii="Times New Roman" w:eastAsia="Calibri" w:hAnsi="Times New Roman" w:cs="Times New Roman"/>
          <w:sz w:val="28"/>
          <w:szCs w:val="28"/>
        </w:rPr>
        <w:lastRenderedPageBreak/>
        <w:t xml:space="preserve">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 </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D67312">
        <w:rPr>
          <w:rFonts w:ascii="Times New Roman" w:eastAsia="Calibri" w:hAnsi="Times New Roman" w:cs="Times New Roman"/>
          <w:sz w:val="28"/>
          <w:szCs w:val="28"/>
        </w:rPr>
        <w:t>Внеоборотные</w:t>
      </w:r>
      <w:proofErr w:type="spellEnd"/>
      <w:r w:rsidRPr="00D67312">
        <w:rPr>
          <w:rFonts w:ascii="Times New Roman" w:eastAsia="Calibri" w:hAnsi="Times New Roman" w:cs="Times New Roman"/>
          <w:sz w:val="28"/>
          <w:szCs w:val="28"/>
        </w:rPr>
        <w:t xml:space="preserve"> активы» Бухгалтерского баланса по строке «Основные средства», а также низкий размер собственных средств, указанный в строке «Итого по разделу </w:t>
      </w:r>
      <w:r w:rsidRPr="00D67312">
        <w:rPr>
          <w:rFonts w:ascii="Times New Roman" w:eastAsia="Calibri" w:hAnsi="Times New Roman" w:cs="Times New Roman"/>
          <w:sz w:val="28"/>
          <w:szCs w:val="28"/>
          <w:lang w:val="en-US"/>
        </w:rPr>
        <w:t>III</w:t>
      </w:r>
      <w:r w:rsidRPr="00D67312">
        <w:rPr>
          <w:rFonts w:ascii="Times New Roman" w:eastAsia="Calibri" w:hAnsi="Times New Roman" w:cs="Times New Roman"/>
          <w:sz w:val="28"/>
          <w:szCs w:val="28"/>
        </w:rPr>
        <w:t xml:space="preserve">» раздела </w:t>
      </w:r>
      <w:r w:rsidRPr="00D67312">
        <w:rPr>
          <w:rFonts w:ascii="Times New Roman" w:eastAsia="Calibri" w:hAnsi="Times New Roman" w:cs="Times New Roman"/>
          <w:sz w:val="28"/>
          <w:szCs w:val="28"/>
          <w:lang w:val="en-US"/>
        </w:rPr>
        <w:t>III</w:t>
      </w:r>
      <w:r w:rsidRPr="00D67312">
        <w:rPr>
          <w:rFonts w:ascii="Times New Roman" w:eastAsia="Calibri" w:hAnsi="Times New Roman" w:cs="Times New Roman"/>
          <w:sz w:val="28"/>
          <w:szCs w:val="28"/>
        </w:rPr>
        <w:t xml:space="preserve"> «Капитал и резервы». Под </w:t>
      </w:r>
      <w:r w:rsidRPr="00D67312">
        <w:rPr>
          <w:rFonts w:ascii="Times New Roman" w:eastAsia="Calibri" w:hAnsi="Times New Roman" w:cs="Times New Roman"/>
          <w:sz w:val="28"/>
          <w:szCs w:val="28"/>
        </w:rPr>
        <w:lastRenderedPageBreak/>
        <w:t>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208-ФЗ «Об акционерных обществах».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В-четвертых, необходимо осуществить поиск информации на официальном сайте поставщика (покупателя) в сети Интернет и других открытых источниках. </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23" w:name="_Toc445807521"/>
      <w:r w:rsidRPr="00D67312">
        <w:rPr>
          <w:rFonts w:ascii="Times New Roman" w:eastAsia="Times New Roman" w:hAnsi="Times New Roman" w:cs="Times New Roman"/>
          <w:sz w:val="28"/>
          <w:szCs w:val="28"/>
        </w:rPr>
        <w:t>Коррупционные риски, возникающие при приобретении недвижимого имущества</w:t>
      </w:r>
      <w:bookmarkEnd w:id="23"/>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w:t>
      </w:r>
      <w:r w:rsidRPr="00D67312">
        <w:rPr>
          <w:rFonts w:ascii="Times New Roman" w:eastAsia="Calibri" w:hAnsi="Times New Roman" w:cs="Times New Roman"/>
          <w:sz w:val="28"/>
          <w:szCs w:val="28"/>
        </w:rPr>
        <w:br/>
        <w:t>«Об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w:t>
      </w:r>
      <w:r w:rsidRPr="00D67312">
        <w:rPr>
          <w:rFonts w:ascii="Times New Roman" w:eastAsia="Calibri" w:hAnsi="Times New Roman" w:cs="Times New Roman"/>
          <w:sz w:val="28"/>
          <w:szCs w:val="28"/>
        </w:rPr>
        <w:lastRenderedPageBreak/>
        <w:t>завышенной цены на объект, так и с целью уплаты продавцу незаконного вознаграждения официальными представителями организации за установление заниженной цены на объект.</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D67312">
        <w:rPr>
          <w:rFonts w:ascii="Times New Roman" w:eastAsia="Calibri" w:hAnsi="Times New Roman" w:cs="Times New Roman"/>
          <w:sz w:val="28"/>
          <w:szCs w:val="28"/>
        </w:rPr>
        <w:t>Росреестра</w:t>
      </w:r>
      <w:proofErr w:type="spellEnd"/>
      <w:r w:rsidRPr="00D67312">
        <w:rPr>
          <w:rFonts w:ascii="Times New Roman" w:eastAsia="Calibri" w:hAnsi="Times New Roman" w:cs="Times New Roman"/>
          <w:sz w:val="28"/>
          <w:szCs w:val="28"/>
        </w:rPr>
        <w:t xml:space="preserve"> </w:t>
      </w:r>
      <w:hyperlink r:id="rId13" w:tgtFrame="_blank" w:history="1">
        <w:r w:rsidRPr="00D67312">
          <w:rPr>
            <w:rFonts w:ascii="Times New Roman" w:eastAsia="Calibri" w:hAnsi="Times New Roman" w:cs="Times New Roman"/>
            <w:sz w:val="28"/>
            <w:szCs w:val="28"/>
          </w:rPr>
          <w:t>http://maps.rosreestr.ru/PortalOnline/</w:t>
        </w:r>
      </w:hyperlink>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 </w:t>
      </w:r>
    </w:p>
    <w:p w:rsidR="00D67312" w:rsidRPr="00D67312" w:rsidRDefault="00D67312" w:rsidP="00D67312">
      <w:pPr>
        <w:spacing w:after="0" w:line="360" w:lineRule="auto"/>
        <w:ind w:firstLine="700"/>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 </w:t>
      </w:r>
    </w:p>
    <w:p w:rsidR="00D67312" w:rsidRPr="00D67312" w:rsidRDefault="00D67312" w:rsidP="00D67312">
      <w:pPr>
        <w:spacing w:after="0" w:line="360" w:lineRule="auto"/>
        <w:ind w:firstLine="700"/>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4. Анализ порядка расчетов на предмет наличия в договоре необоснованных условий по выплате аванса в полном размере от стоимости сделки или его </w:t>
      </w:r>
      <w:r w:rsidRPr="00D67312">
        <w:rPr>
          <w:rFonts w:ascii="Times New Roman" w:eastAsia="Calibri" w:hAnsi="Times New Roman" w:cs="Times New Roman"/>
          <w:sz w:val="28"/>
          <w:szCs w:val="28"/>
        </w:rPr>
        <w:lastRenderedPageBreak/>
        <w:t>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24" w:name="_Toc445807522"/>
      <w:r w:rsidRPr="00D67312">
        <w:rPr>
          <w:rFonts w:ascii="Times New Roman" w:eastAsia="Times New Roman" w:hAnsi="Times New Roman" w:cs="Times New Roman"/>
          <w:sz w:val="28"/>
          <w:szCs w:val="28"/>
        </w:rPr>
        <w:t>Коррупционные риски, возникающие при приобретении техники, машин и оборудования, а также нематериальных активов (за исключением предметов искусства и роскоши)</w:t>
      </w:r>
      <w:bookmarkEnd w:id="24"/>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 </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D67312" w:rsidRPr="00D67312" w:rsidRDefault="00D67312" w:rsidP="00D67312">
      <w:pPr>
        <w:spacing w:after="0" w:line="360" w:lineRule="auto"/>
        <w:ind w:firstLine="686"/>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D67312" w:rsidRPr="00D67312" w:rsidRDefault="00D67312" w:rsidP="00D67312">
      <w:pPr>
        <w:spacing w:after="0" w:line="360" w:lineRule="auto"/>
        <w:ind w:firstLine="686"/>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w:t>
      </w:r>
      <w:r w:rsidRPr="00D67312">
        <w:rPr>
          <w:rFonts w:ascii="Times New Roman" w:eastAsia="Calibri" w:hAnsi="Times New Roman" w:cs="Times New Roman"/>
          <w:sz w:val="28"/>
          <w:szCs w:val="28"/>
        </w:rPr>
        <w:lastRenderedPageBreak/>
        <w:t xml:space="preserve">комплектации объектов, соответствия стоимости объектов по параметру «цена-качество» наиболее выгодным предложениям рынка.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ресурса «Из рук в руки». Для уточнения ценовых предложенной целесообразно установить контакты с продавцами.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Для расчета соответствия условий анализируемой сделки купли-продажи рыночным условиям применяется формула:</w:t>
      </w:r>
    </w:p>
    <w:p w:rsidR="00D67312" w:rsidRPr="00D67312" w:rsidRDefault="00D67312" w:rsidP="00D67312">
      <w:pPr>
        <w:keepNext/>
        <w:keepLines/>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Cа</m:t>
            </m:r>
          </m:den>
        </m:f>
      </m:oMath>
      <w:r w:rsidRPr="00D67312">
        <w:rPr>
          <w:rFonts w:ascii="Times New Roman" w:eastAsia="Calibri" w:hAnsi="Times New Roman" w:cs="Times New Roman"/>
          <w:sz w:val="28"/>
          <w:szCs w:val="28"/>
        </w:rPr>
        <w:t>, где:</w:t>
      </w:r>
    </w:p>
    <w:p w:rsidR="00D67312" w:rsidRPr="00D67312" w:rsidRDefault="00D67312" w:rsidP="00D67312">
      <w:pPr>
        <w:keepNext/>
        <w:keepLines/>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 коэффициент соответствия цены объекта движимого имущества или нематериального актива рыночным условиям;</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w:t>
      </w:r>
      <w:proofErr w:type="spellEnd"/>
      <w:r w:rsidRPr="00D67312">
        <w:rPr>
          <w:rFonts w:ascii="Times New Roman" w:eastAsia="Calibri" w:hAnsi="Times New Roman" w:cs="Times New Roman"/>
          <w:sz w:val="28"/>
          <w:szCs w:val="28"/>
        </w:rPr>
        <w:t xml:space="preserve"> – цена объекта движимого имущества или нематериального актива по анализируемой сделке, руб.;</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C1, C2, C3 – рыночные предложения по цене аналогичных объектов движимого имущества или нематериального актива,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купле-продаже объектов движимого имущества и нематериальных активов может свидетельствовать значение </w:t>
      </w: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Kс</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25" w:name="_Toc445807523"/>
      <w:r w:rsidRPr="00D67312">
        <w:rPr>
          <w:rFonts w:ascii="Times New Roman" w:eastAsia="Times New Roman" w:hAnsi="Times New Roman" w:cs="Times New Roman"/>
          <w:sz w:val="28"/>
          <w:szCs w:val="28"/>
        </w:rPr>
        <w:t>Коррупционные риски, возникающие при приобретении сырья и материалов</w:t>
      </w:r>
      <w:bookmarkEnd w:id="25"/>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 </w:t>
      </w:r>
    </w:p>
    <w:p w:rsidR="00D67312" w:rsidRPr="00D67312" w:rsidRDefault="00D67312" w:rsidP="00D67312">
      <w:pPr>
        <w:spacing w:after="0" w:line="360" w:lineRule="auto"/>
        <w:ind w:firstLine="742"/>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w:t>
      </w:r>
      <w:r w:rsidRPr="00D67312">
        <w:rPr>
          <w:rFonts w:ascii="Times New Roman" w:eastAsia="Calibri" w:hAnsi="Times New Roman" w:cs="Times New Roman"/>
          <w:sz w:val="28"/>
          <w:szCs w:val="28"/>
        </w:rPr>
        <w:lastRenderedPageBreak/>
        <w:t>отдельных случаях целесообразно запросить прейскурант у производителей или ведущих оптовых продавцов продукции.</w:t>
      </w:r>
    </w:p>
    <w:p w:rsidR="00D67312" w:rsidRPr="00D67312" w:rsidRDefault="00D67312" w:rsidP="00D67312">
      <w:pPr>
        <w:spacing w:after="0" w:line="360" w:lineRule="auto"/>
        <w:ind w:firstLine="742"/>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D67312" w:rsidRPr="00D67312" w:rsidRDefault="00D67312" w:rsidP="00D67312">
      <w:pPr>
        <w:spacing w:after="0" w:line="360" w:lineRule="auto"/>
        <w:ind w:firstLine="742"/>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4. 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w:t>
      </w:r>
      <w:r w:rsidRPr="00D67312">
        <w:rPr>
          <w:rFonts w:ascii="Times New Roman" w:eastAsia="Calibri" w:hAnsi="Times New Roman" w:cs="Times New Roman"/>
          <w:sz w:val="28"/>
          <w:szCs w:val="28"/>
        </w:rPr>
        <w:lastRenderedPageBreak/>
        <w:t>является ухудшение условий гарантийного и сервисного обслуживания или отсутствие таких условий в договоре.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5.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rsidR="00D67312" w:rsidRPr="00D67312" w:rsidRDefault="00D67312" w:rsidP="00D67312">
      <w:pPr>
        <w:spacing w:after="0" w:line="360" w:lineRule="auto"/>
        <w:ind w:firstLine="106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купли-продажи рыночным условиям применяется формула:</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Cа</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 коэффициент соответствия цены сырья и материалов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w:t>
      </w:r>
      <w:proofErr w:type="spellEnd"/>
      <w:r w:rsidRPr="00D67312">
        <w:rPr>
          <w:rFonts w:ascii="Times New Roman" w:eastAsia="Calibri" w:hAnsi="Times New Roman" w:cs="Times New Roman"/>
          <w:sz w:val="28"/>
          <w:szCs w:val="28"/>
        </w:rPr>
        <w:t xml:space="preserve"> – цена за единицу измерения сырья (материалов) по анализируемой сделке, руб./ед.;</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C1, C2, C3 – рыночные предложения цены единицы измерения аналогичного сырья (материалов), руб./ед.</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купле-продаже сырья (материалов) может свидетельствовать значение </w:t>
      </w: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Kс</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6" w:name="_Toc445807524"/>
      <w:r w:rsidRPr="00D67312">
        <w:rPr>
          <w:rFonts w:ascii="Times New Roman" w:eastAsia="Times New Roman" w:hAnsi="Times New Roman" w:cs="Times New Roman"/>
          <w:sz w:val="28"/>
          <w:szCs w:val="28"/>
        </w:rPr>
        <w:t>Коррупционные риски, возникающие при приобретении работ и услуг</w:t>
      </w:r>
      <w:bookmarkEnd w:id="26"/>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w:t>
      </w:r>
      <w:r w:rsidRPr="00D67312">
        <w:rPr>
          <w:rFonts w:ascii="Times New Roman" w:eastAsia="Calibri" w:hAnsi="Times New Roman" w:cs="Times New Roman"/>
          <w:sz w:val="28"/>
          <w:szCs w:val="28"/>
        </w:rPr>
        <w:lastRenderedPageBreak/>
        <w:t>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рамках мониторинга коррупционных рисков необходимо провести: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Распространённым коррупционным риском является закупка образовательных и </w:t>
      </w:r>
      <w:proofErr w:type="spellStart"/>
      <w:r w:rsidRPr="00D67312">
        <w:rPr>
          <w:rFonts w:ascii="Times New Roman" w:eastAsia="Calibri" w:hAnsi="Times New Roman" w:cs="Times New Roman"/>
          <w:sz w:val="28"/>
          <w:szCs w:val="28"/>
        </w:rPr>
        <w:t>тренинговых</w:t>
      </w:r>
      <w:proofErr w:type="spellEnd"/>
      <w:r w:rsidRPr="00D67312">
        <w:rPr>
          <w:rFonts w:ascii="Times New Roman" w:eastAsia="Calibri" w:hAnsi="Times New Roman" w:cs="Times New Roman"/>
          <w:sz w:val="28"/>
          <w:szCs w:val="28"/>
        </w:rPr>
        <w:t xml:space="preserve">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затруднительно определить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2. 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минимизации данных коррупционных рисков необходимо ознакомится или запросить у ответственного структурного подразделения подведомственной организации подробное обоснование производственной необходимости осуществления закупки соответствующих работ (услуг).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Далее необходимо проверить наличие актов приема-передачи работ и проанализировать их соответствие условиям договора.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4. 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5.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рыночным применяется формула:</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Cа</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 коэффициент соответствия стоимости работ (услуг)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w:t>
      </w:r>
      <w:proofErr w:type="spellEnd"/>
      <w:r w:rsidRPr="00D67312">
        <w:rPr>
          <w:rFonts w:ascii="Times New Roman" w:eastAsia="Calibri" w:hAnsi="Times New Roman" w:cs="Times New Roman"/>
          <w:sz w:val="28"/>
          <w:szCs w:val="28"/>
        </w:rPr>
        <w:t xml:space="preserve"> – цена работ и услуг по анализируемой сделке, руб.;</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C1, C2, C3 – рыночные предложения цены за выполнение аналогичных работ (услуг),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купле-продаже сырья (материалов) может свидетельствовать значение </w:t>
      </w: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0,85 ≥ </w:t>
      </w:r>
      <w:proofErr w:type="spellStart"/>
      <w:r w:rsidRPr="00D67312">
        <w:rPr>
          <w:rFonts w:ascii="Times New Roman" w:eastAsia="Calibri" w:hAnsi="Times New Roman" w:cs="Times New Roman"/>
          <w:sz w:val="28"/>
          <w:szCs w:val="28"/>
        </w:rPr>
        <w:t>Kс</w:t>
      </w:r>
      <w:proofErr w:type="spellEnd"/>
      <w:r w:rsidRPr="00D67312">
        <w:rPr>
          <w:rFonts w:ascii="Times New Roman" w:eastAsia="Calibri" w:hAnsi="Times New Roman" w:cs="Times New Roman"/>
          <w:sz w:val="28"/>
          <w:szCs w:val="28"/>
        </w:rPr>
        <w:t xml:space="preserve"> ≤ 1,25.</w:t>
      </w:r>
      <w:bookmarkStart w:id="27" w:name="_Toc445807525"/>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и мониторинг коррупционных рисков, связанных с продажей имущества</w:t>
      </w:r>
      <w:bookmarkEnd w:id="27"/>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Особое внимание необходимо уделить классификации продаваемого объекта в целях определения его рыночной стоимости, в случае если это возможно.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коррупционных рисков в данной области и их мониторинг заключается в проведении следующих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организации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 </w:t>
      </w:r>
      <w:r w:rsidRPr="00D67312">
        <w:rPr>
          <w:rFonts w:ascii="Times New Roman" w:eastAsia="Calibri" w:hAnsi="Times New Roman" w:cs="Times New Roman"/>
          <w:sz w:val="28"/>
          <w:szCs w:val="28"/>
        </w:rPr>
        <w:lastRenderedPageBreak/>
        <w:t xml:space="preserve">предшествующих продаже необходимо запросить в службе бухгалтерского учета соответствующую информацию.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D67312">
        <w:rPr>
          <w:rFonts w:ascii="Times New Roman" w:eastAsia="Calibri" w:hAnsi="Times New Roman" w:cs="Times New Roman"/>
          <w:sz w:val="28"/>
          <w:szCs w:val="28"/>
        </w:rPr>
        <w:t>Росреестра</w:t>
      </w:r>
      <w:proofErr w:type="spellEnd"/>
      <w:r w:rsidRPr="00D67312">
        <w:rPr>
          <w:rFonts w:ascii="Times New Roman" w:eastAsia="Calibri" w:hAnsi="Times New Roman" w:cs="Times New Roman"/>
          <w:sz w:val="28"/>
          <w:szCs w:val="28"/>
        </w:rPr>
        <w:t xml:space="preserve"> </w:t>
      </w:r>
      <w:hyperlink r:id="rId14" w:history="1">
        <w:r w:rsidRPr="00D67312">
          <w:rPr>
            <w:rFonts w:ascii="Times New Roman" w:eastAsia="Calibri" w:hAnsi="Times New Roman" w:cs="Times New Roman"/>
            <w:sz w:val="28"/>
            <w:szCs w:val="28"/>
          </w:rPr>
          <w:t>http://maps.rosreestr.ru/PortalOnline/</w:t>
        </w:r>
      </w:hyperlink>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Распространенным коррупционным риском в подобной ситуации является умышленное искажение или подача неполной информации о качестве, составе и </w:t>
      </w:r>
      <w:r w:rsidRPr="00D67312">
        <w:rPr>
          <w:rFonts w:ascii="Times New Roman" w:eastAsia="Calibri" w:hAnsi="Times New Roman" w:cs="Times New Roman"/>
          <w:sz w:val="28"/>
          <w:szCs w:val="28"/>
        </w:rPr>
        <w:lastRenderedPageBreak/>
        <w:t>физическом износе объекта, а также вложенных в его капитальный ремонт, модернизацию и проведение других улучшений инвестиций.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p w:rsidR="00D67312" w:rsidRPr="00D67312" w:rsidRDefault="00D67312" w:rsidP="00D67312"/>
    <w:p w:rsidR="005C45D2" w:rsidRDefault="005C45D2"/>
    <w:sectPr w:rsidR="005C45D2" w:rsidSect="00D67312">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8" w:footer="462" w:gutter="0"/>
      <w:pgNumType w:start="24"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63" w:rsidRDefault="000E4D63" w:rsidP="00D67312">
      <w:pPr>
        <w:spacing w:after="0" w:line="240" w:lineRule="auto"/>
      </w:pPr>
      <w:r>
        <w:separator/>
      </w:r>
    </w:p>
  </w:endnote>
  <w:endnote w:type="continuationSeparator" w:id="0">
    <w:p w:rsidR="000E4D63" w:rsidRDefault="000E4D63" w:rsidP="00D6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rsidP="005C45D2">
    <w:pPr>
      <w:pStyle w:val="a7"/>
      <w:jc w:val="center"/>
    </w:pPr>
  </w:p>
  <w:p w:rsidR="005C45D2" w:rsidRDefault="005C45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63" w:rsidRDefault="000E4D63" w:rsidP="00D67312">
      <w:pPr>
        <w:spacing w:after="0" w:line="240" w:lineRule="auto"/>
      </w:pPr>
      <w:r>
        <w:separator/>
      </w:r>
    </w:p>
  </w:footnote>
  <w:footnote w:type="continuationSeparator" w:id="0">
    <w:p w:rsidR="000E4D63" w:rsidRDefault="000E4D63" w:rsidP="00D67312">
      <w:pPr>
        <w:spacing w:after="0" w:line="240" w:lineRule="auto"/>
      </w:pPr>
      <w:r>
        <w:continuationSeparator/>
      </w:r>
    </w:p>
  </w:footnote>
  <w:footnote w:id="1">
    <w:p w:rsidR="005C45D2" w:rsidRDefault="005C45D2" w:rsidP="00D67312">
      <w:pPr>
        <w:pStyle w:val="a3"/>
      </w:pPr>
      <w:r>
        <w:rPr>
          <w:rStyle w:val="a9"/>
        </w:rPr>
        <w:footnoteRef/>
      </w:r>
      <w:r>
        <w:t xml:space="preserve"> В соответствии со ст. 4 Закона РСФСР от 22.03.1991 № 948-1 (редакции от 26.07.2006) «О конкуренции и ограничении монополистической деятельности на товарных рынках» </w:t>
      </w:r>
      <w:r w:rsidRPr="00AB1492">
        <w:rPr>
          <w:b/>
        </w:rPr>
        <w:t>аффилированные лица</w:t>
      </w:r>
      <w:r w:rsidRPr="00AB1492">
        <w:t xml:space="preserve"> </w:t>
      </w:r>
      <w:r>
        <w:t xml:space="preserve">– </w:t>
      </w:r>
      <w:r w:rsidRPr="00AB1492">
        <w:t>физические и юридические лица, способные оказывать влияние на деятельность юридических и (или) физических лиц, осуществляющих п</w:t>
      </w:r>
      <w:r>
        <w:t xml:space="preserve">редпринимательскую деятельность. Аффилированными лицами </w:t>
      </w:r>
      <w:r w:rsidRPr="006F2332">
        <w:rPr>
          <w:b/>
        </w:rPr>
        <w:t>юридического лица</w:t>
      </w:r>
      <w:r>
        <w:t xml:space="preserve"> являются:</w:t>
      </w:r>
    </w:p>
    <w:p w:rsidR="005C45D2" w:rsidRDefault="005C45D2" w:rsidP="00D67312">
      <w:pPr>
        <w:pStyle w:val="a3"/>
      </w:pPr>
      <w: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5C45D2" w:rsidRDefault="005C45D2" w:rsidP="00D67312">
      <w:pPr>
        <w:pStyle w:val="a3"/>
      </w:pPr>
      <w:r>
        <w:t>лица, принадлежащие к той группе лиц, к которой принадлежит данное юридическое лицо;</w:t>
      </w:r>
    </w:p>
    <w:p w:rsidR="005C45D2" w:rsidRDefault="005C45D2" w:rsidP="00D67312">
      <w:pPr>
        <w:pStyle w:val="a3"/>
      </w:pPr>
      <w: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C45D2" w:rsidRDefault="005C45D2" w:rsidP="00D67312">
      <w:pPr>
        <w:pStyle w:val="a3"/>
      </w:pPr>
      <w: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C45D2" w:rsidRDefault="005C45D2" w:rsidP="00D67312">
      <w:pPr>
        <w:pStyle w:val="a3"/>
      </w:pPr>
      <w: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7521"/>
      <w:docPartObj>
        <w:docPartGallery w:val="Page Numbers (Top of Page)"/>
        <w:docPartUnique/>
      </w:docPartObj>
    </w:sdtPr>
    <w:sdtEndPr/>
    <w:sdtContent>
      <w:p w:rsidR="005C45D2" w:rsidRDefault="007F0839">
        <w:pPr>
          <w:pStyle w:val="a5"/>
          <w:jc w:val="center"/>
        </w:pPr>
        <w:r>
          <w:fldChar w:fldCharType="begin"/>
        </w:r>
        <w:r>
          <w:instrText>PAGE   \* MERGEFORMAT</w:instrText>
        </w:r>
        <w:r>
          <w:fldChar w:fldCharType="separate"/>
        </w:r>
        <w:r w:rsidR="00492833">
          <w:rPr>
            <w:noProof/>
          </w:rPr>
          <w:t>25</w:t>
        </w:r>
        <w:r>
          <w:rPr>
            <w:noProof/>
          </w:rPr>
          <w:fldChar w:fldCharType="end"/>
        </w:r>
      </w:p>
    </w:sdtContent>
  </w:sdt>
  <w:p w:rsidR="005C45D2" w:rsidRDefault="005C45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5"/>
      <w:jc w:val="center"/>
    </w:pPr>
    <w:r>
      <w:t>24</w:t>
    </w:r>
  </w:p>
  <w:p w:rsidR="005C45D2" w:rsidRDefault="005C45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B4FE2"/>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12"/>
    <w:rsid w:val="0001196B"/>
    <w:rsid w:val="00036025"/>
    <w:rsid w:val="000544FE"/>
    <w:rsid w:val="000774FA"/>
    <w:rsid w:val="00090F9D"/>
    <w:rsid w:val="000A215B"/>
    <w:rsid w:val="000B4FC6"/>
    <w:rsid w:val="000E330E"/>
    <w:rsid w:val="000E4D63"/>
    <w:rsid w:val="000F6FDB"/>
    <w:rsid w:val="0010225C"/>
    <w:rsid w:val="00106762"/>
    <w:rsid w:val="00111860"/>
    <w:rsid w:val="001400A9"/>
    <w:rsid w:val="00156518"/>
    <w:rsid w:val="00166991"/>
    <w:rsid w:val="00181D38"/>
    <w:rsid w:val="001857DD"/>
    <w:rsid w:val="001B1BCC"/>
    <w:rsid w:val="001B6859"/>
    <w:rsid w:val="001D392F"/>
    <w:rsid w:val="00200118"/>
    <w:rsid w:val="00202C8E"/>
    <w:rsid w:val="002205D9"/>
    <w:rsid w:val="00232BFE"/>
    <w:rsid w:val="00232EE4"/>
    <w:rsid w:val="002368B7"/>
    <w:rsid w:val="002532DB"/>
    <w:rsid w:val="002C3354"/>
    <w:rsid w:val="002D63B9"/>
    <w:rsid w:val="002F5F6D"/>
    <w:rsid w:val="003239EF"/>
    <w:rsid w:val="003809BA"/>
    <w:rsid w:val="003958F8"/>
    <w:rsid w:val="00395DEF"/>
    <w:rsid w:val="003E536C"/>
    <w:rsid w:val="00400D9C"/>
    <w:rsid w:val="0040262A"/>
    <w:rsid w:val="00434550"/>
    <w:rsid w:val="00443ECC"/>
    <w:rsid w:val="004465EE"/>
    <w:rsid w:val="00465785"/>
    <w:rsid w:val="004754A6"/>
    <w:rsid w:val="004820A4"/>
    <w:rsid w:val="00482795"/>
    <w:rsid w:val="00492833"/>
    <w:rsid w:val="004933D5"/>
    <w:rsid w:val="004B0643"/>
    <w:rsid w:val="004B5760"/>
    <w:rsid w:val="004B75A7"/>
    <w:rsid w:val="004B7E3B"/>
    <w:rsid w:val="004E018C"/>
    <w:rsid w:val="004E1537"/>
    <w:rsid w:val="00513FF4"/>
    <w:rsid w:val="005160E8"/>
    <w:rsid w:val="00523AA2"/>
    <w:rsid w:val="00531A84"/>
    <w:rsid w:val="0053630D"/>
    <w:rsid w:val="00566332"/>
    <w:rsid w:val="00587DA2"/>
    <w:rsid w:val="0059164B"/>
    <w:rsid w:val="00594E78"/>
    <w:rsid w:val="005A1D96"/>
    <w:rsid w:val="005C176D"/>
    <w:rsid w:val="005C45D2"/>
    <w:rsid w:val="005C508F"/>
    <w:rsid w:val="005C7880"/>
    <w:rsid w:val="005C7A77"/>
    <w:rsid w:val="00615C48"/>
    <w:rsid w:val="0063289C"/>
    <w:rsid w:val="00635DF3"/>
    <w:rsid w:val="00652078"/>
    <w:rsid w:val="00660802"/>
    <w:rsid w:val="0066400D"/>
    <w:rsid w:val="00673E42"/>
    <w:rsid w:val="0067637D"/>
    <w:rsid w:val="00692209"/>
    <w:rsid w:val="006965AD"/>
    <w:rsid w:val="006F19FD"/>
    <w:rsid w:val="006F24BE"/>
    <w:rsid w:val="00727295"/>
    <w:rsid w:val="0073108E"/>
    <w:rsid w:val="00757259"/>
    <w:rsid w:val="007649E8"/>
    <w:rsid w:val="007D4FD6"/>
    <w:rsid w:val="007D501E"/>
    <w:rsid w:val="007E050C"/>
    <w:rsid w:val="007E2E7D"/>
    <w:rsid w:val="007F0839"/>
    <w:rsid w:val="007F2A36"/>
    <w:rsid w:val="00800DBB"/>
    <w:rsid w:val="0080587A"/>
    <w:rsid w:val="00805F9C"/>
    <w:rsid w:val="00825549"/>
    <w:rsid w:val="008301C7"/>
    <w:rsid w:val="0083170F"/>
    <w:rsid w:val="008411A4"/>
    <w:rsid w:val="0084327B"/>
    <w:rsid w:val="00847179"/>
    <w:rsid w:val="0087200D"/>
    <w:rsid w:val="00876FC4"/>
    <w:rsid w:val="00882E47"/>
    <w:rsid w:val="0089269D"/>
    <w:rsid w:val="008A76E1"/>
    <w:rsid w:val="008E3E34"/>
    <w:rsid w:val="008E4646"/>
    <w:rsid w:val="008E531F"/>
    <w:rsid w:val="008E756C"/>
    <w:rsid w:val="0090373E"/>
    <w:rsid w:val="00907533"/>
    <w:rsid w:val="009174F2"/>
    <w:rsid w:val="009222DD"/>
    <w:rsid w:val="0092237F"/>
    <w:rsid w:val="00962C91"/>
    <w:rsid w:val="009705DC"/>
    <w:rsid w:val="00986F13"/>
    <w:rsid w:val="009971ED"/>
    <w:rsid w:val="009A55DE"/>
    <w:rsid w:val="009B2255"/>
    <w:rsid w:val="009C64BA"/>
    <w:rsid w:val="009D678C"/>
    <w:rsid w:val="009F6572"/>
    <w:rsid w:val="00A14D39"/>
    <w:rsid w:val="00A151B3"/>
    <w:rsid w:val="00A20A84"/>
    <w:rsid w:val="00A6438C"/>
    <w:rsid w:val="00A7212B"/>
    <w:rsid w:val="00A93920"/>
    <w:rsid w:val="00AB632D"/>
    <w:rsid w:val="00AC6C4C"/>
    <w:rsid w:val="00B31957"/>
    <w:rsid w:val="00B42740"/>
    <w:rsid w:val="00B707D1"/>
    <w:rsid w:val="00B8435E"/>
    <w:rsid w:val="00BA221E"/>
    <w:rsid w:val="00BA5AA7"/>
    <w:rsid w:val="00BC2C92"/>
    <w:rsid w:val="00BF0669"/>
    <w:rsid w:val="00C04EF4"/>
    <w:rsid w:val="00C214F8"/>
    <w:rsid w:val="00C36B94"/>
    <w:rsid w:val="00C77886"/>
    <w:rsid w:val="00C915FC"/>
    <w:rsid w:val="00CA5708"/>
    <w:rsid w:val="00CC036E"/>
    <w:rsid w:val="00CF059F"/>
    <w:rsid w:val="00CF51C8"/>
    <w:rsid w:val="00CF7163"/>
    <w:rsid w:val="00D02BB3"/>
    <w:rsid w:val="00D1019B"/>
    <w:rsid w:val="00D11347"/>
    <w:rsid w:val="00D12558"/>
    <w:rsid w:val="00D2575F"/>
    <w:rsid w:val="00D52FFD"/>
    <w:rsid w:val="00D55FE1"/>
    <w:rsid w:val="00D67312"/>
    <w:rsid w:val="00DD0F9C"/>
    <w:rsid w:val="00DE005A"/>
    <w:rsid w:val="00DE006E"/>
    <w:rsid w:val="00DF3D39"/>
    <w:rsid w:val="00DF55B1"/>
    <w:rsid w:val="00E43219"/>
    <w:rsid w:val="00E4620E"/>
    <w:rsid w:val="00E74D6C"/>
    <w:rsid w:val="00E83BDC"/>
    <w:rsid w:val="00E96A10"/>
    <w:rsid w:val="00EB5D7C"/>
    <w:rsid w:val="00EC0431"/>
    <w:rsid w:val="00EF1F7E"/>
    <w:rsid w:val="00EF34D5"/>
    <w:rsid w:val="00F07E5E"/>
    <w:rsid w:val="00F11411"/>
    <w:rsid w:val="00F2195E"/>
    <w:rsid w:val="00F335DC"/>
    <w:rsid w:val="00F366D7"/>
    <w:rsid w:val="00F54B8D"/>
    <w:rsid w:val="00F73405"/>
    <w:rsid w:val="00FA4200"/>
    <w:rsid w:val="00FF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312"/>
    <w:pPr>
      <w:spacing w:after="0" w:line="240" w:lineRule="auto"/>
    </w:pPr>
    <w:rPr>
      <w:sz w:val="20"/>
      <w:szCs w:val="20"/>
    </w:rPr>
  </w:style>
  <w:style w:type="character" w:customStyle="1" w:styleId="a4">
    <w:name w:val="Текст сноски Знак"/>
    <w:basedOn w:val="a0"/>
    <w:link w:val="a3"/>
    <w:uiPriority w:val="99"/>
    <w:semiHidden/>
    <w:rsid w:val="00D67312"/>
    <w:rPr>
      <w:sz w:val="20"/>
      <w:szCs w:val="20"/>
    </w:rPr>
  </w:style>
  <w:style w:type="paragraph" w:styleId="a5">
    <w:name w:val="header"/>
    <w:basedOn w:val="a"/>
    <w:link w:val="a6"/>
    <w:uiPriority w:val="99"/>
    <w:unhideWhenUsed/>
    <w:rsid w:val="00D673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312"/>
  </w:style>
  <w:style w:type="paragraph" w:styleId="a7">
    <w:name w:val="footer"/>
    <w:basedOn w:val="a"/>
    <w:link w:val="a8"/>
    <w:uiPriority w:val="99"/>
    <w:unhideWhenUsed/>
    <w:rsid w:val="00D673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312"/>
  </w:style>
  <w:style w:type="character" w:styleId="a9">
    <w:name w:val="footnote reference"/>
    <w:basedOn w:val="a0"/>
    <w:uiPriority w:val="99"/>
    <w:semiHidden/>
    <w:unhideWhenUsed/>
    <w:rsid w:val="00D67312"/>
    <w:rPr>
      <w:vertAlign w:val="superscript"/>
    </w:rPr>
  </w:style>
  <w:style w:type="paragraph" w:styleId="aa">
    <w:name w:val="Balloon Text"/>
    <w:basedOn w:val="a"/>
    <w:link w:val="ab"/>
    <w:uiPriority w:val="99"/>
    <w:semiHidden/>
    <w:unhideWhenUsed/>
    <w:rsid w:val="00D67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312"/>
    <w:pPr>
      <w:spacing w:after="0" w:line="240" w:lineRule="auto"/>
    </w:pPr>
    <w:rPr>
      <w:sz w:val="20"/>
      <w:szCs w:val="20"/>
    </w:rPr>
  </w:style>
  <w:style w:type="character" w:customStyle="1" w:styleId="a4">
    <w:name w:val="Текст сноски Знак"/>
    <w:basedOn w:val="a0"/>
    <w:link w:val="a3"/>
    <w:uiPriority w:val="99"/>
    <w:semiHidden/>
    <w:rsid w:val="00D67312"/>
    <w:rPr>
      <w:sz w:val="20"/>
      <w:szCs w:val="20"/>
    </w:rPr>
  </w:style>
  <w:style w:type="paragraph" w:styleId="a5">
    <w:name w:val="header"/>
    <w:basedOn w:val="a"/>
    <w:link w:val="a6"/>
    <w:uiPriority w:val="99"/>
    <w:unhideWhenUsed/>
    <w:rsid w:val="00D673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312"/>
  </w:style>
  <w:style w:type="paragraph" w:styleId="a7">
    <w:name w:val="footer"/>
    <w:basedOn w:val="a"/>
    <w:link w:val="a8"/>
    <w:uiPriority w:val="99"/>
    <w:unhideWhenUsed/>
    <w:rsid w:val="00D673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312"/>
  </w:style>
  <w:style w:type="character" w:styleId="a9">
    <w:name w:val="footnote reference"/>
    <w:basedOn w:val="a0"/>
    <w:uiPriority w:val="99"/>
    <w:semiHidden/>
    <w:unhideWhenUsed/>
    <w:rsid w:val="00D67312"/>
    <w:rPr>
      <w:vertAlign w:val="superscript"/>
    </w:rPr>
  </w:style>
  <w:style w:type="paragraph" w:styleId="aa">
    <w:name w:val="Balloon Text"/>
    <w:basedOn w:val="a"/>
    <w:link w:val="ab"/>
    <w:uiPriority w:val="99"/>
    <w:semiHidden/>
    <w:unhideWhenUsed/>
    <w:rsid w:val="00D67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rosreestr.ru/Portal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A%D0%BE%D0%BC%D0%B8%D1%81%D1%81%D0%B8%D0%BE%D0%BD%D0%BD%D0%BE%D0%B5_%D0%B2%D0%BE%D0%B7%D0%BD%D0%B0%D0%B3%D1%80%D0%B0%D0%B6%D0%B4%D0%B5%D0%BD%D0%B8%D0%B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6%D0%B5%D0%BD%D1%82%D0%BD%D1%8B%D0%B9_%D0%B4%D0%BE%D1%85%D0%BE%D0%B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u.wikipedia.org/wiki/%D0%94%D0%B5%D0%B1%D0%B8%D1%82%D0%BE%D1%80%D1%81%D0%BA%D0%B0%D1%8F_%D0%B7%D0%B0%D0%B4%D0%BE%D0%BB%D0%B6%D0%B5%D0%BD%D0%BD%D0%BE%D1%81%D1%82%D1%8C"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ru.wikipedia.org/wiki/%D0%9A%D1%80%D0%B5%D0%B4%D0%B8%D1%82" TargetMode="External"/><Relationship Id="rId14" Type="http://schemas.openxmlformats.org/officeDocument/2006/relationships/hyperlink" Target="http://maps.rosreestr.ru/PortalOnlin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A326-A861-48ED-AC6B-4FBF8DBF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12912</Words>
  <Characters>73601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Топилин Денис Валерьевич</dc:creator>
  <cp:lastModifiedBy>Генрих</cp:lastModifiedBy>
  <cp:revision>2</cp:revision>
  <dcterms:created xsi:type="dcterms:W3CDTF">2018-07-18T12:35:00Z</dcterms:created>
  <dcterms:modified xsi:type="dcterms:W3CDTF">2018-07-18T12:35:00Z</dcterms:modified>
</cp:coreProperties>
</file>